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698AF" w14:textId="5DFE03CD" w:rsidR="47E9320A" w:rsidRDefault="00AA73A7" w:rsidP="49082F14">
      <w:r>
        <w:t xml:space="preserve">FEMA 2020 “Selected” </w:t>
      </w:r>
      <w:r w:rsidR="33934886">
        <w:t>BRIC</w:t>
      </w:r>
      <w:r w:rsidR="47E9320A">
        <w:t xml:space="preserve"> Projects</w:t>
      </w:r>
    </w:p>
    <w:tbl>
      <w:tblPr>
        <w:tblStyle w:val="TableGrid"/>
        <w:tblW w:w="11664" w:type="dxa"/>
        <w:tblInd w:w="-1175" w:type="dxa"/>
        <w:tblLayout w:type="fixed"/>
        <w:tblLook w:val="06A0" w:firstRow="1" w:lastRow="0" w:firstColumn="1" w:lastColumn="0" w:noHBand="1" w:noVBand="1"/>
      </w:tblPr>
      <w:tblGrid>
        <w:gridCol w:w="1435"/>
        <w:gridCol w:w="1710"/>
        <w:gridCol w:w="1350"/>
        <w:gridCol w:w="4865"/>
        <w:gridCol w:w="2304"/>
      </w:tblGrid>
      <w:tr w:rsidR="00541910" w14:paraId="7475A119" w14:textId="6D55AB57" w:rsidTr="7B134CFE">
        <w:tc>
          <w:tcPr>
            <w:tcW w:w="1435" w:type="dxa"/>
          </w:tcPr>
          <w:p w14:paraId="7BF3DFF6" w14:textId="4D218E57" w:rsidR="00541910" w:rsidRDefault="00541910" w:rsidP="3A8FB124">
            <w:r>
              <w:t>State</w:t>
            </w:r>
          </w:p>
        </w:tc>
        <w:tc>
          <w:tcPr>
            <w:tcW w:w="1710" w:type="dxa"/>
          </w:tcPr>
          <w:p w14:paraId="0566D13E" w14:textId="65CCD967" w:rsidR="00541910" w:rsidRDefault="00541910" w:rsidP="3A8FB124">
            <w:r>
              <w:t>Project name</w:t>
            </w:r>
          </w:p>
        </w:tc>
        <w:tc>
          <w:tcPr>
            <w:tcW w:w="1350" w:type="dxa"/>
          </w:tcPr>
          <w:p w14:paraId="156EDED8" w14:textId="4DE906D2" w:rsidR="00541910" w:rsidRDefault="00541910" w:rsidP="3A8FB124">
            <w:r>
              <w:t>Project cost</w:t>
            </w:r>
          </w:p>
        </w:tc>
        <w:tc>
          <w:tcPr>
            <w:tcW w:w="4865" w:type="dxa"/>
          </w:tcPr>
          <w:p w14:paraId="7CBFF88F" w14:textId="31ABDFB8" w:rsidR="00541910" w:rsidRDefault="00541910" w:rsidP="3A8FB124">
            <w:r>
              <w:t>Project Details</w:t>
            </w:r>
          </w:p>
        </w:tc>
        <w:tc>
          <w:tcPr>
            <w:tcW w:w="2304" w:type="dxa"/>
          </w:tcPr>
          <w:p w14:paraId="0A9B1ABA" w14:textId="501C9809" w:rsidR="00541910" w:rsidRDefault="00C60A75" w:rsidP="3A8FB124">
            <w:r>
              <w:t>Link</w:t>
            </w:r>
          </w:p>
        </w:tc>
      </w:tr>
      <w:tr w:rsidR="00541910" w14:paraId="1CBD41D0" w14:textId="1BEF4391" w:rsidTr="7B134CFE">
        <w:tc>
          <w:tcPr>
            <w:tcW w:w="1435" w:type="dxa"/>
          </w:tcPr>
          <w:p w14:paraId="431EEA56" w14:textId="6488E466" w:rsidR="00541910" w:rsidRDefault="00541910" w:rsidP="3A8FB124">
            <w:r>
              <w:t>Washington</w:t>
            </w:r>
          </w:p>
        </w:tc>
        <w:tc>
          <w:tcPr>
            <w:tcW w:w="1710" w:type="dxa"/>
          </w:tcPr>
          <w:p w14:paraId="2BD94F29" w14:textId="47842213" w:rsidR="00541910" w:rsidRDefault="00541910" w:rsidP="3A8FB124">
            <w:r>
              <w:t>North Shore Levee West</w:t>
            </w:r>
          </w:p>
        </w:tc>
        <w:tc>
          <w:tcPr>
            <w:tcW w:w="1350" w:type="dxa"/>
          </w:tcPr>
          <w:p w14:paraId="7E7E672D" w14:textId="4E7DC420" w:rsidR="00541910" w:rsidRDefault="00AC10EA" w:rsidP="3A8FB124">
            <w:r>
              <w:t>$</w:t>
            </w:r>
            <w:r w:rsidR="00541910">
              <w:t xml:space="preserve">46.2 </w:t>
            </w:r>
            <w:r>
              <w:t>M</w:t>
            </w:r>
          </w:p>
        </w:tc>
        <w:tc>
          <w:tcPr>
            <w:tcW w:w="4865" w:type="dxa"/>
          </w:tcPr>
          <w:p w14:paraId="75FB2840" w14:textId="181DEB9C" w:rsidR="00541910" w:rsidRDefault="00541910" w:rsidP="3A8FB124">
            <w:r>
              <w:t>When completed would remove more than 3,000 properties from the current FEMA floodplain map for Hoquiam and Aberdeen and from federal flood insurance requirements.</w:t>
            </w:r>
          </w:p>
        </w:tc>
        <w:tc>
          <w:tcPr>
            <w:tcW w:w="2304" w:type="dxa"/>
          </w:tcPr>
          <w:p w14:paraId="1B4A1448" w14:textId="768361FF" w:rsidR="00541910" w:rsidRDefault="00AC10EA" w:rsidP="7B134CFE">
            <w:pPr>
              <w:rPr>
                <w:rFonts w:eastAsiaTheme="minorEastAsia"/>
              </w:rPr>
            </w:pPr>
            <w:hyperlink r:id="rId5">
              <w:r w:rsidR="3D30C613" w:rsidRPr="7B134CFE">
                <w:rPr>
                  <w:rStyle w:val="Hyperlink"/>
                </w:rPr>
                <w:t>file:///C:/Users/frenchreb/Downloads/North%20Shore%20Levee%20-%20West%20Segment%20(5.21).pdf</w:t>
              </w:r>
            </w:hyperlink>
          </w:p>
          <w:p w14:paraId="44FFCF44" w14:textId="126ACBD8" w:rsidR="00541910" w:rsidRDefault="00541910" w:rsidP="7B134CFE"/>
        </w:tc>
      </w:tr>
      <w:tr w:rsidR="00541910" w14:paraId="2B85E887" w14:textId="1195D8BD" w:rsidTr="7B134CFE">
        <w:trPr>
          <w:trHeight w:val="840"/>
        </w:trPr>
        <w:tc>
          <w:tcPr>
            <w:tcW w:w="1435" w:type="dxa"/>
          </w:tcPr>
          <w:p w14:paraId="4C805F8E" w14:textId="6ABEE098" w:rsidR="00541910" w:rsidRDefault="00541910" w:rsidP="3A8FB124">
            <w:r>
              <w:t>Washington</w:t>
            </w:r>
          </w:p>
        </w:tc>
        <w:tc>
          <w:tcPr>
            <w:tcW w:w="1710" w:type="dxa"/>
          </w:tcPr>
          <w:p w14:paraId="2FECC72D" w14:textId="062E836C" w:rsidR="00541910" w:rsidRDefault="00541910" w:rsidP="3A8FB124">
            <w:r>
              <w:t>Kittitas County Washington Waste Transfer Station Flood Mitigation</w:t>
            </w:r>
          </w:p>
        </w:tc>
        <w:tc>
          <w:tcPr>
            <w:tcW w:w="1350" w:type="dxa"/>
          </w:tcPr>
          <w:p w14:paraId="772BEF28" w14:textId="49E9BB3F" w:rsidR="00541910" w:rsidRDefault="00AC10EA" w:rsidP="3A8FB124">
            <w:r>
              <w:t>$</w:t>
            </w:r>
            <w:r w:rsidR="00541910">
              <w:t xml:space="preserve">17.2 </w:t>
            </w:r>
            <w:r>
              <w:t>M</w:t>
            </w:r>
          </w:p>
        </w:tc>
        <w:tc>
          <w:tcPr>
            <w:tcW w:w="4865" w:type="dxa"/>
          </w:tcPr>
          <w:p w14:paraId="571F4D20" w14:textId="313F6BE5" w:rsidR="00541910" w:rsidRDefault="00541910" w:rsidP="3A8FB124">
            <w:r>
              <w:t>Relocating the transfer station to reduce flood hazard as well as increase size to support growing solid waste management needs</w:t>
            </w:r>
          </w:p>
        </w:tc>
        <w:tc>
          <w:tcPr>
            <w:tcW w:w="2304" w:type="dxa"/>
          </w:tcPr>
          <w:p w14:paraId="525EBA35" w14:textId="058D9F0D" w:rsidR="00541910" w:rsidRDefault="00AC10EA" w:rsidP="3A8FB124">
            <w:hyperlink r:id="rId6">
              <w:r w:rsidR="662C6BB1" w:rsidRPr="7B134CFE">
                <w:rPr>
                  <w:rStyle w:val="Hyperlink"/>
                </w:rPr>
                <w:t>https://www.co.kittitas.wa.us/uploads/documents/solid-waste/Final-Site-Selection-Report-Kittitas_082118.pdf</w:t>
              </w:r>
            </w:hyperlink>
          </w:p>
          <w:p w14:paraId="3CA8875A" w14:textId="51DFA704" w:rsidR="00541910" w:rsidRDefault="00541910" w:rsidP="7B134CFE"/>
        </w:tc>
      </w:tr>
      <w:tr w:rsidR="00541910" w14:paraId="1537A344" w14:textId="58869339" w:rsidTr="7B134CFE">
        <w:tc>
          <w:tcPr>
            <w:tcW w:w="1435" w:type="dxa"/>
          </w:tcPr>
          <w:p w14:paraId="50AB1AE1" w14:textId="4B622981" w:rsidR="00541910" w:rsidRDefault="00541910" w:rsidP="3A8FB124">
            <w:r>
              <w:t>South Carolina</w:t>
            </w:r>
          </w:p>
        </w:tc>
        <w:tc>
          <w:tcPr>
            <w:tcW w:w="1710" w:type="dxa"/>
          </w:tcPr>
          <w:p w14:paraId="7EE09AF2" w14:textId="6DF8F42A" w:rsidR="00541910" w:rsidRDefault="00541910" w:rsidP="3A8FB124">
            <w:r>
              <w:t>City of Columbia Resilient Water Supply Project</w:t>
            </w:r>
          </w:p>
        </w:tc>
        <w:tc>
          <w:tcPr>
            <w:tcW w:w="1350" w:type="dxa"/>
          </w:tcPr>
          <w:p w14:paraId="24E0E816" w14:textId="28CEFD8E" w:rsidR="00541910" w:rsidRDefault="00AC10EA" w:rsidP="3A8FB124">
            <w:r>
              <w:t>$</w:t>
            </w:r>
            <w:r w:rsidR="00541910">
              <w:t xml:space="preserve">46.6 </w:t>
            </w:r>
            <w:r>
              <w:t>M</w:t>
            </w:r>
          </w:p>
        </w:tc>
        <w:tc>
          <w:tcPr>
            <w:tcW w:w="4865" w:type="dxa"/>
          </w:tcPr>
          <w:p w14:paraId="0E7E28A9" w14:textId="546B1766" w:rsidR="00541910" w:rsidRDefault="00541910" w:rsidP="3A8FB124">
            <w:r>
              <w:t>The City of Columbia is proposing a project to develop a new raw water intake facility that will allow the Canal Plant to draw water directly from the Congaree River. The proposed facility will provide a second raw water intake that will greatly enhance the resiliency of Columbia's drinking water supply.</w:t>
            </w:r>
          </w:p>
        </w:tc>
        <w:tc>
          <w:tcPr>
            <w:tcW w:w="2304" w:type="dxa"/>
          </w:tcPr>
          <w:p w14:paraId="70F63E86" w14:textId="4315CC75" w:rsidR="00541910" w:rsidRDefault="00AC10EA" w:rsidP="3A8FB124">
            <w:hyperlink r:id="rId7">
              <w:r w:rsidR="4F377193" w:rsidRPr="7B134CFE">
                <w:rPr>
                  <w:rStyle w:val="Hyperlink"/>
                </w:rPr>
                <w:t>https://columbiasc.gov/uploads/headlines/03-08-2021/water-utility-resiliency/2021-03-02-Columbia%20Water%20Resiliency%20Update_Final.pdf</w:t>
              </w:r>
            </w:hyperlink>
          </w:p>
          <w:p w14:paraId="3DCAD8A9" w14:textId="0965D0A9" w:rsidR="00541910" w:rsidRDefault="00541910" w:rsidP="7B134CFE"/>
        </w:tc>
      </w:tr>
      <w:tr w:rsidR="00541910" w14:paraId="4D8DEAE6" w14:textId="0FB768D2" w:rsidTr="7B134CFE">
        <w:tc>
          <w:tcPr>
            <w:tcW w:w="1435" w:type="dxa"/>
          </w:tcPr>
          <w:p w14:paraId="4E0104C9" w14:textId="7D07E697" w:rsidR="00541910" w:rsidRDefault="00541910" w:rsidP="3A8FB124">
            <w:r>
              <w:t>New York</w:t>
            </w:r>
          </w:p>
        </w:tc>
        <w:tc>
          <w:tcPr>
            <w:tcW w:w="1710" w:type="dxa"/>
          </w:tcPr>
          <w:p w14:paraId="2D9159DC" w14:textId="50B83FB1" w:rsidR="00541910" w:rsidRDefault="00541910" w:rsidP="3A8FB124">
            <w:r>
              <w:t>20 - New Castle (T) - BRIC - Upper Minkel Dam Decommissioning &amp; Riparian Corridor Restoration</w:t>
            </w:r>
          </w:p>
        </w:tc>
        <w:tc>
          <w:tcPr>
            <w:tcW w:w="1350" w:type="dxa"/>
          </w:tcPr>
          <w:p w14:paraId="77EF7729" w14:textId="5D11129A" w:rsidR="00541910" w:rsidRDefault="00AC10EA" w:rsidP="3A8FB124">
            <w:r>
              <w:t>$</w:t>
            </w:r>
            <w:r w:rsidR="00541910">
              <w:t xml:space="preserve">1.5 </w:t>
            </w:r>
            <w:r>
              <w:t>M</w:t>
            </w:r>
          </w:p>
        </w:tc>
        <w:tc>
          <w:tcPr>
            <w:tcW w:w="4865" w:type="dxa"/>
          </w:tcPr>
          <w:p w14:paraId="2A9FCA48" w14:textId="2457516C" w:rsidR="00541910" w:rsidRDefault="00541910" w:rsidP="3A8FB124">
            <w:r>
              <w:t>Partial removal of dam structure</w:t>
            </w:r>
          </w:p>
          <w:p w14:paraId="01B500D4" w14:textId="2D771302" w:rsidR="00541910" w:rsidRDefault="00541910" w:rsidP="3A8FB124">
            <w:r>
              <w:t>• Establish channel through former impoundment</w:t>
            </w:r>
          </w:p>
          <w:p w14:paraId="4CA3D72E" w14:textId="4609F8FB" w:rsidR="00541910" w:rsidRDefault="00541910" w:rsidP="3A8FB124">
            <w:r>
              <w:t>• Plant former impoundment area to establish riparian ecosystem</w:t>
            </w:r>
          </w:p>
        </w:tc>
        <w:tc>
          <w:tcPr>
            <w:tcW w:w="2304" w:type="dxa"/>
          </w:tcPr>
          <w:p w14:paraId="55CDD82F" w14:textId="014AEA41" w:rsidR="00541910" w:rsidRDefault="00AC10EA" w:rsidP="466CC261">
            <w:pPr>
              <w:pStyle w:val="ListParagraph"/>
              <w:numPr>
                <w:ilvl w:val="0"/>
                <w:numId w:val="5"/>
              </w:numPr>
              <w:rPr>
                <w:rFonts w:eastAsiaTheme="minorEastAsia"/>
              </w:rPr>
            </w:pPr>
            <w:hyperlink r:id="rId8">
              <w:r w:rsidR="33AB5259" w:rsidRPr="466CC261">
                <w:rPr>
                  <w:rStyle w:val="Hyperlink"/>
                </w:rPr>
                <w:t>https://www.mynewcastle.org/DocumentCenter/View/1635/Upper-Minkel-Dam-Tectonic-Presentation---February-25-2020</w:t>
              </w:r>
            </w:hyperlink>
          </w:p>
          <w:p w14:paraId="3BF0AE24" w14:textId="526091FC" w:rsidR="00541910" w:rsidRDefault="00AC10EA" w:rsidP="466CC261">
            <w:pPr>
              <w:pStyle w:val="ListParagraph"/>
              <w:numPr>
                <w:ilvl w:val="0"/>
                <w:numId w:val="5"/>
              </w:numPr>
              <w:rPr>
                <w:rFonts w:eastAsiaTheme="minorEastAsia"/>
              </w:rPr>
            </w:pPr>
            <w:hyperlink r:id="rId9">
              <w:r w:rsidR="31B62162" w:rsidRPr="466CC261">
                <w:rPr>
                  <w:rStyle w:val="Hyperlink"/>
                </w:rPr>
                <w:t>https://www.mynewcastle.org/CivicAlerts.aspx?AID=223&amp;ARC=499</w:t>
              </w:r>
            </w:hyperlink>
          </w:p>
          <w:p w14:paraId="0A3D0993" w14:textId="1462CF89" w:rsidR="00541910" w:rsidRDefault="00541910" w:rsidP="00AA73A7">
            <w:pPr>
              <w:pStyle w:val="ListParagraph"/>
            </w:pPr>
          </w:p>
        </w:tc>
      </w:tr>
      <w:tr w:rsidR="00541910" w14:paraId="789DAC40" w14:textId="021A4970" w:rsidTr="7B134CFE">
        <w:tc>
          <w:tcPr>
            <w:tcW w:w="1435" w:type="dxa"/>
          </w:tcPr>
          <w:p w14:paraId="156EA45D" w14:textId="185D3083" w:rsidR="00541910" w:rsidRDefault="00541910" w:rsidP="3A8FB124">
            <w:r>
              <w:t>New York</w:t>
            </w:r>
          </w:p>
        </w:tc>
        <w:tc>
          <w:tcPr>
            <w:tcW w:w="1710" w:type="dxa"/>
          </w:tcPr>
          <w:p w14:paraId="1C79E28C" w14:textId="6E2E899A" w:rsidR="00541910" w:rsidRDefault="00541910" w:rsidP="3A8FB124">
            <w:r>
              <w:t>145 - NYC Parks - BRIC - BRIC 2020 GOSR/NYCParks Tottenville Shoreline Protection Project</w:t>
            </w:r>
          </w:p>
        </w:tc>
        <w:tc>
          <w:tcPr>
            <w:tcW w:w="1350" w:type="dxa"/>
          </w:tcPr>
          <w:p w14:paraId="04A1CC1C" w14:textId="007D8B83" w:rsidR="00541910" w:rsidRDefault="00AC10EA" w:rsidP="3A8FB124">
            <w:r>
              <w:t>$</w:t>
            </w:r>
            <w:r w:rsidR="00541910">
              <w:t xml:space="preserve">26.3 </w:t>
            </w:r>
            <w:r>
              <w:t>M</w:t>
            </w:r>
          </w:p>
        </w:tc>
        <w:tc>
          <w:tcPr>
            <w:tcW w:w="4865" w:type="dxa"/>
          </w:tcPr>
          <w:p w14:paraId="2C93F769" w14:textId="07E55757" w:rsidR="00541910" w:rsidRDefault="00541910" w:rsidP="3A8FB124">
            <w:r>
              <w:t xml:space="preserve">At 90% design completion, the plan includes a series of risk reduction measures each designed to address the particular risks and characteristics of that section of the project area. These features are, beginning at the west and moving east: an earthen berm, a hybrid dune/revetment system, two eco-revetments, and a raised edge continuing east to Page Ave. The entire system includes enhanced pedestrian access to the beach at numerous points, native plantings, interpretive signage, seating </w:t>
            </w:r>
            <w:r>
              <w:lastRenderedPageBreak/>
              <w:t>opportunities, and a continuous ADA accessible trail system along the shoreline in Conference House Park.</w:t>
            </w:r>
          </w:p>
        </w:tc>
        <w:tc>
          <w:tcPr>
            <w:tcW w:w="2304" w:type="dxa"/>
          </w:tcPr>
          <w:p w14:paraId="6EAC9D0E" w14:textId="6520ED3F" w:rsidR="00541910" w:rsidRDefault="00AC10EA" w:rsidP="7B134CFE">
            <w:pPr>
              <w:rPr>
                <w:rFonts w:eastAsiaTheme="minorEastAsia"/>
              </w:rPr>
            </w:pPr>
            <w:hyperlink r:id="rId10">
              <w:r w:rsidR="677C1C83" w:rsidRPr="7B134CFE">
                <w:rPr>
                  <w:rStyle w:val="Hyperlink"/>
                </w:rPr>
                <w:t>https://stormrecovery.ny.gov/tottenville-shoreline-protection-project</w:t>
              </w:r>
            </w:hyperlink>
          </w:p>
          <w:p w14:paraId="457FFE2B" w14:textId="140470C4" w:rsidR="00541910" w:rsidRDefault="00541910" w:rsidP="7B134CFE"/>
        </w:tc>
      </w:tr>
      <w:tr w:rsidR="00541910" w14:paraId="044A1263" w14:textId="1FBA019C" w:rsidTr="7B134CFE">
        <w:tc>
          <w:tcPr>
            <w:tcW w:w="1435" w:type="dxa"/>
          </w:tcPr>
          <w:p w14:paraId="3DCA122C" w14:textId="4A27325F" w:rsidR="00541910" w:rsidRDefault="00541910" w:rsidP="3A8FB124">
            <w:r>
              <w:t>New Jersey</w:t>
            </w:r>
          </w:p>
        </w:tc>
        <w:tc>
          <w:tcPr>
            <w:tcW w:w="1710" w:type="dxa"/>
          </w:tcPr>
          <w:p w14:paraId="302A3F43" w14:textId="0A6B411E" w:rsidR="00541910" w:rsidRDefault="00541910" w:rsidP="3A8FB124">
            <w:r>
              <w:t>BRIC FY2020 New Jersey Meadowlands East Riser Ditch Pumping Station and Channel Improvements</w:t>
            </w:r>
          </w:p>
        </w:tc>
        <w:tc>
          <w:tcPr>
            <w:tcW w:w="1350" w:type="dxa"/>
          </w:tcPr>
          <w:p w14:paraId="664786D7" w14:textId="2EBA314B" w:rsidR="00541910" w:rsidRDefault="00AC10EA" w:rsidP="3A8FB124">
            <w:r>
              <w:t>$</w:t>
            </w:r>
            <w:r w:rsidR="00541910">
              <w:t xml:space="preserve">61.2 </w:t>
            </w:r>
            <w:r>
              <w:t>M</w:t>
            </w:r>
          </w:p>
        </w:tc>
        <w:tc>
          <w:tcPr>
            <w:tcW w:w="4865" w:type="dxa"/>
          </w:tcPr>
          <w:p w14:paraId="4848D33C" w14:textId="5B88CED6" w:rsidR="00541910" w:rsidRDefault="00541910" w:rsidP="3A8FB124">
            <w:r>
              <w:t>The "New Meadowlands" project will help Little Ferry, as well as Carlstadt, Moonachie, South Hackensack and Teterboro, all towns prone to severe flooding from rain. The plan is designed to improve flooding by improving existing water channels, improving and adding public parks and adding vegetation to soak up rainwater.</w:t>
            </w:r>
          </w:p>
        </w:tc>
        <w:tc>
          <w:tcPr>
            <w:tcW w:w="2304" w:type="dxa"/>
          </w:tcPr>
          <w:p w14:paraId="4688E13C" w14:textId="250174F5" w:rsidR="00541910" w:rsidRDefault="00AC10EA" w:rsidP="7B134CFE">
            <w:hyperlink r:id="rId11">
              <w:r w:rsidR="7F3F374E" w:rsidRPr="7B134CFE">
                <w:rPr>
                  <w:rStyle w:val="Hyperlink"/>
                </w:rPr>
                <w:t>https://www.nj.gov/dep/floodresilience/docs/rbdm-meeting-20200311-pres-slides.pdf</w:t>
              </w:r>
            </w:hyperlink>
          </w:p>
          <w:p w14:paraId="3DDC7DA9" w14:textId="19D2E084" w:rsidR="00541910" w:rsidRDefault="00541910" w:rsidP="7B134CFE"/>
        </w:tc>
      </w:tr>
      <w:tr w:rsidR="7B134CFE" w14:paraId="752EFA47" w14:textId="77777777" w:rsidTr="7B134CFE">
        <w:tc>
          <w:tcPr>
            <w:tcW w:w="1435" w:type="dxa"/>
          </w:tcPr>
          <w:p w14:paraId="3AC74F84" w14:textId="19236613" w:rsidR="2549DFA1" w:rsidRDefault="2549DFA1" w:rsidP="7B134CFE">
            <w:r>
              <w:t>New Jersey</w:t>
            </w:r>
          </w:p>
        </w:tc>
        <w:tc>
          <w:tcPr>
            <w:tcW w:w="1710" w:type="dxa"/>
          </w:tcPr>
          <w:p w14:paraId="0CBC1DC0" w14:textId="3D60E46B" w:rsidR="26A41CA2" w:rsidRDefault="26A41CA2" w:rsidP="7B134CFE">
            <w:pPr>
              <w:rPr>
                <w:rFonts w:ascii="Calibri" w:eastAsia="Calibri" w:hAnsi="Calibri" w:cs="Calibri"/>
              </w:rPr>
            </w:pPr>
            <w:r w:rsidRPr="7B134CFE">
              <w:rPr>
                <w:rFonts w:ascii="Calibri" w:eastAsia="Calibri" w:hAnsi="Calibri" w:cs="Calibri"/>
              </w:rPr>
              <w:t>BRIC FY2020 - New Jersey DEP Hudson River Floodwall Infrastructure and Resilience Park</w:t>
            </w:r>
          </w:p>
        </w:tc>
        <w:tc>
          <w:tcPr>
            <w:tcW w:w="1350" w:type="dxa"/>
          </w:tcPr>
          <w:p w14:paraId="65F4A56C" w14:textId="578BD0A4" w:rsidR="26A41CA2" w:rsidRDefault="26A41CA2" w:rsidP="7B134CFE">
            <w:pPr>
              <w:rPr>
                <w:rFonts w:ascii="Calibri" w:eastAsia="Calibri" w:hAnsi="Calibri" w:cs="Calibri"/>
              </w:rPr>
            </w:pPr>
            <w:r w:rsidRPr="7B134CFE">
              <w:rPr>
                <w:rFonts w:ascii="Calibri" w:eastAsia="Calibri" w:hAnsi="Calibri" w:cs="Calibri"/>
              </w:rPr>
              <w:t>$243,005,239.00</w:t>
            </w:r>
          </w:p>
        </w:tc>
        <w:tc>
          <w:tcPr>
            <w:tcW w:w="4865" w:type="dxa"/>
          </w:tcPr>
          <w:p w14:paraId="284F9E01" w14:textId="213C97DC" w:rsidR="2549DFA1" w:rsidRDefault="2549DFA1">
            <w:r w:rsidRPr="7B134CFE">
              <w:rPr>
                <w:rFonts w:ascii="Verdana" w:eastAsia="Verdana" w:hAnsi="Verdana" w:cs="Verdana"/>
                <w:color w:val="000000" w:themeColor="text1"/>
                <w:sz w:val="18"/>
                <w:szCs w:val="18"/>
              </w:rPr>
              <w:t>The Proposed Project will occur throughout the City of Hoboken, and will extend into Weehawken and Jersey City, with the following approximate boundaries: the Hudson River to the east; Baldwin Avenue (in Weehawken) to the north; the Palisades to the west; and 18th Street, Washington Boulevard and 14th Street (in Jersey City) to the south.</w:t>
            </w:r>
          </w:p>
          <w:p w14:paraId="429CD1FA" w14:textId="5C71FD76" w:rsidR="2549DFA1" w:rsidRDefault="2549DFA1">
            <w:r w:rsidRPr="7B134CFE">
              <w:rPr>
                <w:rFonts w:ascii="Verdana" w:eastAsia="Verdana" w:hAnsi="Verdana" w:cs="Verdana"/>
                <w:color w:val="000000" w:themeColor="text1"/>
                <w:sz w:val="18"/>
                <w:szCs w:val="18"/>
              </w:rPr>
              <w:t>The project’s comprehensive approach to resilience consists of four integrated components:</w:t>
            </w:r>
          </w:p>
          <w:p w14:paraId="028D9D17" w14:textId="4398580C" w:rsidR="2549DFA1" w:rsidRDefault="2549DFA1" w:rsidP="7B134CFE">
            <w:pPr>
              <w:pStyle w:val="ListParagraph"/>
              <w:numPr>
                <w:ilvl w:val="0"/>
                <w:numId w:val="1"/>
              </w:numPr>
              <w:rPr>
                <w:rFonts w:eastAsiaTheme="minorEastAsia"/>
                <w:b/>
                <w:bCs/>
                <w:color w:val="000000" w:themeColor="text1"/>
                <w:sz w:val="18"/>
                <w:szCs w:val="18"/>
              </w:rPr>
            </w:pPr>
            <w:r w:rsidRPr="7B134CFE">
              <w:rPr>
                <w:rFonts w:ascii="Verdana" w:eastAsia="Verdana" w:hAnsi="Verdana" w:cs="Verdana"/>
                <w:b/>
                <w:bCs/>
                <w:color w:val="000000" w:themeColor="text1"/>
                <w:sz w:val="18"/>
                <w:szCs w:val="18"/>
              </w:rPr>
              <w:t>Resist:</w:t>
            </w:r>
            <w:r w:rsidRPr="7B134CFE">
              <w:rPr>
                <w:rFonts w:ascii="Verdana" w:eastAsia="Verdana" w:hAnsi="Verdana" w:cs="Verdana"/>
                <w:color w:val="000000" w:themeColor="text1"/>
                <w:sz w:val="18"/>
                <w:szCs w:val="18"/>
              </w:rPr>
              <w:t xml:space="preserve">  a combination of  hard infrastructure (such as bulkheads, floodwalls and seawalls) and soft landscaping features (such as berms and/or levees which could be used as parks) that act as barriers along the coast during exceptionally high tide and/or storm surge events;</w:t>
            </w:r>
          </w:p>
          <w:p w14:paraId="5DB5234C" w14:textId="797AB788" w:rsidR="2549DFA1" w:rsidRDefault="2549DFA1" w:rsidP="7B134CFE">
            <w:pPr>
              <w:pStyle w:val="ListParagraph"/>
              <w:numPr>
                <w:ilvl w:val="0"/>
                <w:numId w:val="1"/>
              </w:numPr>
              <w:rPr>
                <w:rFonts w:eastAsiaTheme="minorEastAsia"/>
                <w:b/>
                <w:bCs/>
                <w:color w:val="000000" w:themeColor="text1"/>
                <w:sz w:val="18"/>
                <w:szCs w:val="18"/>
              </w:rPr>
            </w:pPr>
            <w:r w:rsidRPr="7B134CFE">
              <w:rPr>
                <w:rFonts w:ascii="Verdana" w:eastAsia="Verdana" w:hAnsi="Verdana" w:cs="Verdana"/>
                <w:b/>
                <w:bCs/>
                <w:color w:val="000000" w:themeColor="text1"/>
                <w:sz w:val="18"/>
                <w:szCs w:val="18"/>
              </w:rPr>
              <w:t>Delay</w:t>
            </w:r>
            <w:r w:rsidRPr="7B134CFE">
              <w:rPr>
                <w:rFonts w:ascii="Verdana" w:eastAsia="Verdana" w:hAnsi="Verdana" w:cs="Verdana"/>
                <w:color w:val="000000" w:themeColor="text1"/>
                <w:sz w:val="18"/>
                <w:szCs w:val="18"/>
              </w:rPr>
              <w:t>: policy recommendations, guidelines and urban green infrastructure to slow stormwater runoff;</w:t>
            </w:r>
          </w:p>
          <w:p w14:paraId="05BE6DB2" w14:textId="54E32E08" w:rsidR="2549DFA1" w:rsidRDefault="2549DFA1" w:rsidP="7B134CFE">
            <w:pPr>
              <w:pStyle w:val="ListParagraph"/>
              <w:numPr>
                <w:ilvl w:val="0"/>
                <w:numId w:val="1"/>
              </w:numPr>
              <w:rPr>
                <w:rFonts w:eastAsiaTheme="minorEastAsia"/>
                <w:b/>
                <w:bCs/>
                <w:color w:val="000000" w:themeColor="text1"/>
                <w:sz w:val="18"/>
                <w:szCs w:val="18"/>
              </w:rPr>
            </w:pPr>
            <w:r w:rsidRPr="7B134CFE">
              <w:rPr>
                <w:rFonts w:ascii="Verdana" w:eastAsia="Verdana" w:hAnsi="Verdana" w:cs="Verdana"/>
                <w:b/>
                <w:bCs/>
                <w:color w:val="000000" w:themeColor="text1"/>
                <w:sz w:val="18"/>
                <w:szCs w:val="18"/>
              </w:rPr>
              <w:t>Store</w:t>
            </w:r>
            <w:r w:rsidRPr="7B134CFE">
              <w:rPr>
                <w:rFonts w:ascii="Verdana" w:eastAsia="Verdana" w:hAnsi="Verdana" w:cs="Verdana"/>
                <w:color w:val="000000" w:themeColor="text1"/>
                <w:sz w:val="18"/>
                <w:szCs w:val="18"/>
              </w:rPr>
              <w:t>: green and grey infrastructure improvements, such as bioretention basins, swales, and green roofs, that slow down and capture stormwater, and which will complement the efforts of the City of Hoboken’s existing Green Infrastructure Strategic Plan; and</w:t>
            </w:r>
          </w:p>
          <w:p w14:paraId="33245C05" w14:textId="51714979" w:rsidR="2549DFA1" w:rsidRDefault="2549DFA1" w:rsidP="7B134CFE">
            <w:pPr>
              <w:pStyle w:val="ListParagraph"/>
              <w:numPr>
                <w:ilvl w:val="0"/>
                <w:numId w:val="1"/>
              </w:numPr>
              <w:rPr>
                <w:rFonts w:eastAsiaTheme="minorEastAsia"/>
                <w:b/>
                <w:bCs/>
                <w:color w:val="000000" w:themeColor="text1"/>
                <w:sz w:val="18"/>
                <w:szCs w:val="18"/>
              </w:rPr>
            </w:pPr>
            <w:r w:rsidRPr="7B134CFE">
              <w:rPr>
                <w:rFonts w:ascii="Verdana" w:eastAsia="Verdana" w:hAnsi="Verdana" w:cs="Verdana"/>
                <w:b/>
                <w:bCs/>
                <w:color w:val="000000" w:themeColor="text1"/>
                <w:sz w:val="18"/>
                <w:szCs w:val="18"/>
              </w:rPr>
              <w:t>Discharge</w:t>
            </w:r>
            <w:r w:rsidRPr="7B134CFE">
              <w:rPr>
                <w:rFonts w:ascii="Verdana" w:eastAsia="Verdana" w:hAnsi="Verdana" w:cs="Verdana"/>
                <w:color w:val="000000" w:themeColor="text1"/>
                <w:sz w:val="18"/>
                <w:szCs w:val="18"/>
              </w:rPr>
              <w:t>: enhancements to Hoboken’s existing stormwater management system, including the identification and upgrading of existing stormwater/sewer lines, outfalls and pumping stations.</w:t>
            </w:r>
          </w:p>
        </w:tc>
        <w:tc>
          <w:tcPr>
            <w:tcW w:w="2304" w:type="dxa"/>
          </w:tcPr>
          <w:p w14:paraId="1FB3E4DE" w14:textId="0551F86A" w:rsidR="5EE26B6F" w:rsidRDefault="00AC10EA" w:rsidP="7B134CFE">
            <w:pPr>
              <w:pStyle w:val="ListParagraph"/>
              <w:ind w:left="0"/>
            </w:pPr>
            <w:hyperlink r:id="rId12">
              <w:r w:rsidR="5EE26B6F" w:rsidRPr="7B134CFE">
                <w:rPr>
                  <w:rStyle w:val="Hyperlink"/>
                </w:rPr>
                <w:t>https://www.nj.gov/dep/floodresilience/rbd-hudsonriver.htm</w:t>
              </w:r>
            </w:hyperlink>
          </w:p>
          <w:p w14:paraId="4EE0D28B" w14:textId="2E5F90DA" w:rsidR="7B134CFE" w:rsidRDefault="7B134CFE" w:rsidP="7B134CFE">
            <w:pPr>
              <w:pStyle w:val="ListParagraph"/>
            </w:pPr>
          </w:p>
        </w:tc>
      </w:tr>
      <w:tr w:rsidR="00541910" w14:paraId="04A4D7F1" w14:textId="74FB7334" w:rsidTr="7B134CFE">
        <w:tc>
          <w:tcPr>
            <w:tcW w:w="1435" w:type="dxa"/>
            <w:vMerge w:val="restart"/>
          </w:tcPr>
          <w:p w14:paraId="563C6BF0" w14:textId="102F4147" w:rsidR="00541910" w:rsidRDefault="00541910" w:rsidP="3A8FB124">
            <w:r>
              <w:t>North Carolina</w:t>
            </w:r>
          </w:p>
        </w:tc>
        <w:tc>
          <w:tcPr>
            <w:tcW w:w="1710" w:type="dxa"/>
          </w:tcPr>
          <w:p w14:paraId="6BBC8AEB" w14:textId="4561E1D4" w:rsidR="00541910" w:rsidRDefault="00541910" w:rsidP="3A8FB124">
            <w:r>
              <w:t>BRIC 2020 Hickory Snow Creek Pump Station Relocation and Flood Hardening</w:t>
            </w:r>
          </w:p>
        </w:tc>
        <w:tc>
          <w:tcPr>
            <w:tcW w:w="1350" w:type="dxa"/>
          </w:tcPr>
          <w:p w14:paraId="5C0B8AC3" w14:textId="22485CB8" w:rsidR="00541910" w:rsidRDefault="00AC10EA" w:rsidP="3A8FB124">
            <w:r>
              <w:t>$</w:t>
            </w:r>
            <w:r w:rsidR="00541910">
              <w:t xml:space="preserve">4.7 </w:t>
            </w:r>
            <w:r>
              <w:t>M</w:t>
            </w:r>
          </w:p>
        </w:tc>
        <w:tc>
          <w:tcPr>
            <w:tcW w:w="4865" w:type="dxa"/>
            <w:vMerge w:val="restart"/>
          </w:tcPr>
          <w:p w14:paraId="3614DB23" w14:textId="370D118B" w:rsidR="00541910" w:rsidRDefault="00541910" w:rsidP="49082F14">
            <w:pPr>
              <w:spacing w:line="259" w:lineRule="auto"/>
            </w:pPr>
            <w:r>
              <w:t>Relocation of the Snow Creek Pump Station to a location outside of the 500-year flood plain as well as hardening the facility</w:t>
            </w:r>
          </w:p>
          <w:p w14:paraId="6DBE9BB4" w14:textId="662BF6E1" w:rsidR="00541910" w:rsidRDefault="00541910" w:rsidP="49082F14">
            <w:pPr>
              <w:spacing w:line="259" w:lineRule="auto"/>
            </w:pPr>
            <w:r>
              <w:t>against future flood events and stream bank restoration and influent pump station flood hardening at the Northeast Wastewater Treatment Facility.</w:t>
            </w:r>
          </w:p>
        </w:tc>
        <w:tc>
          <w:tcPr>
            <w:tcW w:w="2304" w:type="dxa"/>
            <w:vMerge w:val="restart"/>
          </w:tcPr>
          <w:p w14:paraId="365AB9C8" w14:textId="08CAD23F" w:rsidR="00541910" w:rsidRDefault="00AC10EA" w:rsidP="49082F14">
            <w:hyperlink r:id="rId13" w:history="1">
              <w:r w:rsidR="00AA73A7" w:rsidRPr="009504CF">
                <w:rPr>
                  <w:rStyle w:val="Hyperlink"/>
                </w:rPr>
                <w:t>https://www.hickorync.gov/sites/default/files/hickoryncgov/Council/Action%20Agendas/20210202%20-%20City%20Council%20Action%20Agenda%20-%20February%202%2C%202021%20.pdf</w:t>
              </w:r>
            </w:hyperlink>
          </w:p>
          <w:p w14:paraId="6D7F7757" w14:textId="4D3CF39D" w:rsidR="00AA73A7" w:rsidRDefault="00AA73A7" w:rsidP="49082F14"/>
        </w:tc>
      </w:tr>
      <w:tr w:rsidR="00541910" w14:paraId="5625DCD4" w14:textId="70B9B155" w:rsidTr="7B134CFE">
        <w:tc>
          <w:tcPr>
            <w:tcW w:w="1435" w:type="dxa"/>
            <w:vMerge/>
          </w:tcPr>
          <w:p w14:paraId="38DFDC57" w14:textId="77777777" w:rsidR="00541910" w:rsidRDefault="00541910"/>
        </w:tc>
        <w:tc>
          <w:tcPr>
            <w:tcW w:w="1710" w:type="dxa"/>
          </w:tcPr>
          <w:p w14:paraId="69645CEC" w14:textId="03BF52AC" w:rsidR="00541910" w:rsidRDefault="00541910" w:rsidP="49082F14">
            <w:r>
              <w:t xml:space="preserve">Hickory Northeast Wastewater Treatment Facility </w:t>
            </w:r>
            <w:r>
              <w:lastRenderedPageBreak/>
              <w:t>Hardening and Stream Restoration Project</w:t>
            </w:r>
          </w:p>
        </w:tc>
        <w:tc>
          <w:tcPr>
            <w:tcW w:w="1350" w:type="dxa"/>
          </w:tcPr>
          <w:p w14:paraId="5B516257" w14:textId="7E7EC31A" w:rsidR="00541910" w:rsidRDefault="00AC10EA" w:rsidP="49082F14">
            <w:r>
              <w:lastRenderedPageBreak/>
              <w:t>$</w:t>
            </w:r>
            <w:r w:rsidR="00541910">
              <w:t xml:space="preserve">7.1 </w:t>
            </w:r>
            <w:r>
              <w:t>M</w:t>
            </w:r>
          </w:p>
        </w:tc>
        <w:tc>
          <w:tcPr>
            <w:tcW w:w="4865" w:type="dxa"/>
            <w:vMerge/>
          </w:tcPr>
          <w:p w14:paraId="617E0439" w14:textId="77777777" w:rsidR="00541910" w:rsidRDefault="00541910"/>
        </w:tc>
        <w:tc>
          <w:tcPr>
            <w:tcW w:w="2304" w:type="dxa"/>
            <w:vMerge/>
          </w:tcPr>
          <w:p w14:paraId="1ED4EFDC" w14:textId="77777777" w:rsidR="00541910" w:rsidRDefault="00541910"/>
        </w:tc>
      </w:tr>
      <w:tr w:rsidR="00541910" w14:paraId="0EE35765" w14:textId="177698EF" w:rsidTr="7B134CFE">
        <w:tc>
          <w:tcPr>
            <w:tcW w:w="1435" w:type="dxa"/>
          </w:tcPr>
          <w:p w14:paraId="615E98C4" w14:textId="02F0FAE2" w:rsidR="00541910" w:rsidRDefault="00541910" w:rsidP="49082F14">
            <w:r>
              <w:t>North Carolina</w:t>
            </w:r>
          </w:p>
        </w:tc>
        <w:tc>
          <w:tcPr>
            <w:tcW w:w="1710" w:type="dxa"/>
          </w:tcPr>
          <w:p w14:paraId="27BE6998" w14:textId="53AFFBAC" w:rsidR="00541910" w:rsidRDefault="00541910" w:rsidP="49082F14">
            <w:r>
              <w:t>Lumberton Loop: A City-Wide Plan for Flood Mitigation, Restoration, and Recreation in Lumberton, NC</w:t>
            </w:r>
          </w:p>
        </w:tc>
        <w:tc>
          <w:tcPr>
            <w:tcW w:w="1350" w:type="dxa"/>
          </w:tcPr>
          <w:p w14:paraId="0A775F55" w14:textId="036EEF27" w:rsidR="00541910" w:rsidRDefault="00AC10EA" w:rsidP="49082F14">
            <w:r>
              <w:t>$</w:t>
            </w:r>
            <w:r w:rsidR="00541910">
              <w:t xml:space="preserve">2.6 </w:t>
            </w:r>
            <w:r>
              <w:t>M</w:t>
            </w:r>
          </w:p>
        </w:tc>
        <w:tc>
          <w:tcPr>
            <w:tcW w:w="4865" w:type="dxa"/>
          </w:tcPr>
          <w:p w14:paraId="792ACDF8" w14:textId="66020B05" w:rsidR="00541910" w:rsidRDefault="00541910" w:rsidP="49082F14">
            <w:pPr>
              <w:spacing w:line="259" w:lineRule="auto"/>
            </w:pPr>
            <w:r>
              <w:t>Connects over 806 acres and provides 8.5 miles of trails into a contiguous, community-wide greenway, of which 99% resides within the 100-year floodplain</w:t>
            </w:r>
          </w:p>
        </w:tc>
        <w:tc>
          <w:tcPr>
            <w:tcW w:w="2304" w:type="dxa"/>
          </w:tcPr>
          <w:p w14:paraId="06C8C1B6" w14:textId="4E188716" w:rsidR="00541910" w:rsidRDefault="00AC10EA" w:rsidP="466CC261">
            <w:pPr>
              <w:pStyle w:val="ListParagraph"/>
              <w:numPr>
                <w:ilvl w:val="0"/>
                <w:numId w:val="4"/>
              </w:numPr>
              <w:rPr>
                <w:rFonts w:eastAsiaTheme="minorEastAsia"/>
              </w:rPr>
            </w:pPr>
            <w:hyperlink r:id="rId14">
              <w:r w:rsidR="12E7AF4C" w:rsidRPr="466CC261">
                <w:rPr>
                  <w:rStyle w:val="Hyperlink"/>
                </w:rPr>
                <w:t>https://www.asla.org/2020awards/262.html</w:t>
              </w:r>
            </w:hyperlink>
          </w:p>
          <w:p w14:paraId="06725292" w14:textId="7DC6BA51" w:rsidR="00541910" w:rsidRDefault="00AC10EA" w:rsidP="466CC261">
            <w:pPr>
              <w:pStyle w:val="ListParagraph"/>
              <w:numPr>
                <w:ilvl w:val="0"/>
                <w:numId w:val="4"/>
              </w:numPr>
              <w:rPr>
                <w:rFonts w:eastAsiaTheme="minorEastAsia"/>
              </w:rPr>
            </w:pPr>
            <w:hyperlink r:id="rId15">
              <w:r w:rsidR="355F51CB" w:rsidRPr="466CC261">
                <w:rPr>
                  <w:rStyle w:val="Hyperlink"/>
                </w:rPr>
                <w:t>https://static1.squarespace.com/static/5ae3403b5ffd20f29c3730d4/t/60140c324b91cd5e522f6fa1/1611926587769/0_Lumberton+Floodprint_FINAL+with+Cover.pdf</w:t>
              </w:r>
            </w:hyperlink>
          </w:p>
          <w:p w14:paraId="3BD5D9F9" w14:textId="5318FB47" w:rsidR="00541910" w:rsidRDefault="00541910" w:rsidP="00AA73A7">
            <w:pPr>
              <w:pStyle w:val="ListParagraph"/>
              <w:ind w:left="360"/>
            </w:pPr>
          </w:p>
        </w:tc>
      </w:tr>
      <w:tr w:rsidR="00541910" w14:paraId="0DF5525C" w14:textId="65F92166" w:rsidTr="7B134CFE">
        <w:tc>
          <w:tcPr>
            <w:tcW w:w="1435" w:type="dxa"/>
          </w:tcPr>
          <w:p w14:paraId="5147B800" w14:textId="0B5BD858" w:rsidR="00541910" w:rsidRDefault="00541910" w:rsidP="49082F14">
            <w:r>
              <w:t>North Carolina</w:t>
            </w:r>
          </w:p>
        </w:tc>
        <w:tc>
          <w:tcPr>
            <w:tcW w:w="1710" w:type="dxa"/>
          </w:tcPr>
          <w:p w14:paraId="63548996" w14:textId="29013ED0" w:rsidR="00541910" w:rsidRDefault="00541910" w:rsidP="49082F14">
            <w:r>
              <w:t>Town of Duck Living Shoreline and NC 12 Resiliency Project</w:t>
            </w:r>
          </w:p>
        </w:tc>
        <w:tc>
          <w:tcPr>
            <w:tcW w:w="1350" w:type="dxa"/>
          </w:tcPr>
          <w:p w14:paraId="7B788F7B" w14:textId="216F36B6" w:rsidR="00541910" w:rsidRDefault="00AC10EA" w:rsidP="49082F14">
            <w:r>
              <w:t>$</w:t>
            </w:r>
            <w:r w:rsidR="00541910">
              <w:t xml:space="preserve">2.5 </w:t>
            </w:r>
            <w:r>
              <w:t>M</w:t>
            </w:r>
          </w:p>
        </w:tc>
        <w:tc>
          <w:tcPr>
            <w:tcW w:w="4865" w:type="dxa"/>
          </w:tcPr>
          <w:p w14:paraId="00833DBC" w14:textId="5AE9A741" w:rsidR="00541910" w:rsidRDefault="00541910" w:rsidP="49082F14">
            <w:pPr>
              <w:spacing w:line="259" w:lineRule="auto"/>
            </w:pPr>
            <w:r>
              <w:t>The proposed improvements include living shoreline (marsh restoration/shoreline stabilization) improvements along the Currituck Sound adjoining N.C. Highway 12, a sidewalk on the west side of N.C. Highway 12, and elevation of this very low section of N.C. Highway 12/</w:t>
            </w:r>
          </w:p>
        </w:tc>
        <w:tc>
          <w:tcPr>
            <w:tcW w:w="2304" w:type="dxa"/>
          </w:tcPr>
          <w:p w14:paraId="6E936794" w14:textId="52D11349" w:rsidR="00541910" w:rsidRDefault="00AC10EA" w:rsidP="49082F14">
            <w:hyperlink r:id="rId16" w:anchor=":~:text=The%20proposed%20improvements%20include%20living,improve%20the%20function%20and%20resiliency" w:history="1">
              <w:r w:rsidR="00AA73A7" w:rsidRPr="009504CF">
                <w:rPr>
                  <w:rStyle w:val="Hyperlink"/>
                </w:rPr>
                <w:t>https://www.townofduck.com/news/survey-work-to-begin-on-duck-road-for-resiliency-grant/#:~:text=The%20proposed%20improvements%20include%20living,improve%20the%20function%20and%20resiliency</w:t>
              </w:r>
            </w:hyperlink>
          </w:p>
          <w:p w14:paraId="21832AB0" w14:textId="0F87FA20" w:rsidR="00AA73A7" w:rsidRDefault="00AA73A7" w:rsidP="49082F14"/>
        </w:tc>
      </w:tr>
      <w:tr w:rsidR="00541910" w14:paraId="18D313A8" w14:textId="4F53E045" w:rsidTr="7B134CFE">
        <w:tc>
          <w:tcPr>
            <w:tcW w:w="1435" w:type="dxa"/>
          </w:tcPr>
          <w:p w14:paraId="57F37276" w14:textId="24C487C6" w:rsidR="00541910" w:rsidRDefault="00541910" w:rsidP="49082F14">
            <w:r>
              <w:t xml:space="preserve">Massachusetts </w:t>
            </w:r>
          </w:p>
        </w:tc>
        <w:tc>
          <w:tcPr>
            <w:tcW w:w="1710" w:type="dxa"/>
          </w:tcPr>
          <w:p w14:paraId="7FB6BFAE" w14:textId="4B2EA5CC" w:rsidR="00541910" w:rsidRDefault="00541910" w:rsidP="49082F14">
            <w:r>
              <w:t>Central Street Bridge Improvements and Sawmill Brook Restoration, Culvert Retrofit &amp; Restoration</w:t>
            </w:r>
          </w:p>
        </w:tc>
        <w:tc>
          <w:tcPr>
            <w:tcW w:w="1350" w:type="dxa"/>
          </w:tcPr>
          <w:p w14:paraId="1A3EF391" w14:textId="35655C97" w:rsidR="00541910" w:rsidRDefault="00AC10EA" w:rsidP="49082F14">
            <w:r>
              <w:t>$</w:t>
            </w:r>
            <w:r w:rsidR="00541910">
              <w:t xml:space="preserve">5.9 </w:t>
            </w:r>
            <w:r>
              <w:t>M</w:t>
            </w:r>
          </w:p>
        </w:tc>
        <w:tc>
          <w:tcPr>
            <w:tcW w:w="4865" w:type="dxa"/>
          </w:tcPr>
          <w:p w14:paraId="31819CDD" w14:textId="7A9E17C6" w:rsidR="00541910" w:rsidRDefault="00541910" w:rsidP="49082F14">
            <w:pPr>
              <w:spacing w:line="259" w:lineRule="auto"/>
            </w:pPr>
            <w:r>
              <w:t>The purpose of this project is to repair the Central Street Bridge, restore natural tidal flow and ecological conditions to Sawmill Brook and enhance resiliency of Sawmill Brook from flooding under current and future conditions</w:t>
            </w:r>
          </w:p>
        </w:tc>
        <w:tc>
          <w:tcPr>
            <w:tcW w:w="2304" w:type="dxa"/>
          </w:tcPr>
          <w:p w14:paraId="136B964D" w14:textId="5F1D7759" w:rsidR="00541910" w:rsidRDefault="00AC10EA" w:rsidP="49082F14">
            <w:hyperlink r:id="rId17" w:history="1">
              <w:r w:rsidR="00AA73A7" w:rsidRPr="009504CF">
                <w:rPr>
                  <w:rStyle w:val="Hyperlink"/>
                </w:rPr>
                <w:t>https://eeaonline.eea.state.ma.us/EEA/emepa/mepadocs/2020/012220em/sc/enf/16127%20Central%20Street%20Bridge%20Reconstruction%20and%20Central%20Pond%20Sawmill%20Brook%20Restoration.pdf</w:t>
              </w:r>
            </w:hyperlink>
          </w:p>
          <w:p w14:paraId="5FCFA0CA" w14:textId="55DCD1DB" w:rsidR="00AA73A7" w:rsidRDefault="00AA73A7" w:rsidP="49082F14"/>
        </w:tc>
      </w:tr>
      <w:tr w:rsidR="00541910" w14:paraId="200AA1C5" w14:textId="68DABB1E" w:rsidTr="7B134CFE">
        <w:tc>
          <w:tcPr>
            <w:tcW w:w="1435" w:type="dxa"/>
          </w:tcPr>
          <w:p w14:paraId="57042097" w14:textId="219FAAC8" w:rsidR="00541910" w:rsidRDefault="00541910" w:rsidP="49082F14">
            <w:r>
              <w:t>Kentucky</w:t>
            </w:r>
          </w:p>
        </w:tc>
        <w:tc>
          <w:tcPr>
            <w:tcW w:w="1710" w:type="dxa"/>
          </w:tcPr>
          <w:p w14:paraId="0500F4AD" w14:textId="4578A874" w:rsidR="00541910" w:rsidRDefault="00541910" w:rsidP="49082F14">
            <w:r>
              <w:t xml:space="preserve">Frankfort Mero Flood Pump Station Renewal and Mero Sanitary Pump Station </w:t>
            </w:r>
            <w:r>
              <w:lastRenderedPageBreak/>
              <w:t>Relocation - BRIC</w:t>
            </w:r>
          </w:p>
        </w:tc>
        <w:tc>
          <w:tcPr>
            <w:tcW w:w="1350" w:type="dxa"/>
          </w:tcPr>
          <w:p w14:paraId="3E92114B" w14:textId="05877A63" w:rsidR="00541910" w:rsidRDefault="00AC10EA" w:rsidP="49082F14">
            <w:r>
              <w:lastRenderedPageBreak/>
              <w:t>$</w:t>
            </w:r>
            <w:r w:rsidR="00541910">
              <w:t xml:space="preserve">13.9 </w:t>
            </w:r>
            <w:r>
              <w:t>M</w:t>
            </w:r>
          </w:p>
        </w:tc>
        <w:tc>
          <w:tcPr>
            <w:tcW w:w="4865" w:type="dxa"/>
          </w:tcPr>
          <w:p w14:paraId="7C2022C4" w14:textId="6437DB30" w:rsidR="00541910" w:rsidRDefault="00541910" w:rsidP="49082F14">
            <w:pPr>
              <w:spacing w:line="259" w:lineRule="auto"/>
            </w:pPr>
            <w:r>
              <w:t>The existing Mero Flood Pump Station shall be renewed to continue to provide full flood protection from the 100-year storm event.</w:t>
            </w:r>
          </w:p>
          <w:p w14:paraId="2D8F96FC" w14:textId="7029B516" w:rsidR="00541910" w:rsidRDefault="00541910" w:rsidP="49082F14">
            <w:pPr>
              <w:spacing w:line="259" w:lineRule="auto"/>
            </w:pPr>
            <w:r>
              <w:t xml:space="preserve"> The Mero Sanitary Pump Station shall be relocated from along the Kentucky River to inside the Floodwall.</w:t>
            </w:r>
          </w:p>
          <w:p w14:paraId="34FF1763" w14:textId="3004FD15" w:rsidR="00541910" w:rsidRDefault="00541910" w:rsidP="49082F14">
            <w:pPr>
              <w:spacing w:line="259" w:lineRule="auto"/>
            </w:pPr>
            <w:r>
              <w:lastRenderedPageBreak/>
              <w:t>The Mero Sanitary Pump Station Combined Sewer Overflow shall be disconnected from the</w:t>
            </w:r>
          </w:p>
          <w:p w14:paraId="4690C02A" w14:textId="2D30D150" w:rsidR="00541910" w:rsidRDefault="00541910" w:rsidP="49082F14">
            <w:pPr>
              <w:spacing w:line="259" w:lineRule="auto"/>
            </w:pPr>
            <w:r>
              <w:t>Mero Flood Pump Station and discharged directly to the Kentucky River.</w:t>
            </w:r>
          </w:p>
        </w:tc>
        <w:tc>
          <w:tcPr>
            <w:tcW w:w="2304" w:type="dxa"/>
          </w:tcPr>
          <w:p w14:paraId="047A7FA8" w14:textId="3659AE12" w:rsidR="00541910" w:rsidRDefault="00AC10EA" w:rsidP="49082F14">
            <w:hyperlink r:id="rId18" w:history="1">
              <w:r w:rsidR="00AA73A7" w:rsidRPr="009504CF">
                <w:rPr>
                  <w:rStyle w:val="Hyperlink"/>
                </w:rPr>
                <w:t>https://www.bidnet.com/bneattachments?/654134486.pdf</w:t>
              </w:r>
            </w:hyperlink>
          </w:p>
          <w:p w14:paraId="2A494E55" w14:textId="7D24B681" w:rsidR="00AA73A7" w:rsidRDefault="00AA73A7" w:rsidP="49082F14"/>
        </w:tc>
      </w:tr>
      <w:tr w:rsidR="00541910" w14:paraId="12BCF5D7" w14:textId="08A9DC24" w:rsidTr="7B134CFE">
        <w:tc>
          <w:tcPr>
            <w:tcW w:w="1435" w:type="dxa"/>
          </w:tcPr>
          <w:p w14:paraId="747B56BE" w14:textId="72552EFE" w:rsidR="00541910" w:rsidRDefault="00541910" w:rsidP="49082F14">
            <w:r>
              <w:t>DC</w:t>
            </w:r>
          </w:p>
        </w:tc>
        <w:tc>
          <w:tcPr>
            <w:tcW w:w="1710" w:type="dxa"/>
          </w:tcPr>
          <w:p w14:paraId="6AB48AD9" w14:textId="284F8F70" w:rsidR="00541910" w:rsidRDefault="00541910" w:rsidP="49082F14">
            <w:r>
              <w:t>Blue/Green Storm Water Flood Mitigation in Southwest Washington, DC</w:t>
            </w:r>
          </w:p>
        </w:tc>
        <w:tc>
          <w:tcPr>
            <w:tcW w:w="1350" w:type="dxa"/>
          </w:tcPr>
          <w:p w14:paraId="2C6017BA" w14:textId="798D114A" w:rsidR="00541910" w:rsidRDefault="00AC10EA" w:rsidP="49082F14">
            <w:r>
              <w:t>$</w:t>
            </w:r>
            <w:r w:rsidR="00541910">
              <w:t xml:space="preserve">24.8 </w:t>
            </w:r>
            <w:r>
              <w:t>M</w:t>
            </w:r>
          </w:p>
        </w:tc>
        <w:tc>
          <w:tcPr>
            <w:tcW w:w="4865" w:type="dxa"/>
          </w:tcPr>
          <w:p w14:paraId="72E4D64E" w14:textId="2290A9CB" w:rsidR="00541910" w:rsidRDefault="00541910" w:rsidP="49082F14">
            <w:pPr>
              <w:spacing w:line="259" w:lineRule="auto"/>
            </w:pPr>
            <w:r>
              <w:t>Mitigate Flooding along 1st St Corridor &amp; in two parks</w:t>
            </w:r>
          </w:p>
          <w:p w14:paraId="599D7FDD" w14:textId="44C1B4E8" w:rsidR="00541910" w:rsidRDefault="00541910" w:rsidP="49082F14">
            <w:pPr>
              <w:spacing w:line="259" w:lineRule="auto"/>
            </w:pPr>
            <w:r>
              <w:t>Use Blue-Green and Gray Infrastructure for storage and conveyance</w:t>
            </w:r>
          </w:p>
          <w:p w14:paraId="7E9DBE02" w14:textId="2C9C8837" w:rsidR="00541910" w:rsidRDefault="00541910" w:rsidP="49082F14">
            <w:pPr>
              <w:spacing w:line="259" w:lineRule="auto"/>
            </w:pPr>
            <w:r>
              <w:t>Create great open spaces for people</w:t>
            </w:r>
          </w:p>
        </w:tc>
        <w:tc>
          <w:tcPr>
            <w:tcW w:w="2304" w:type="dxa"/>
          </w:tcPr>
          <w:p w14:paraId="4805A79F" w14:textId="35924D37" w:rsidR="00541910" w:rsidRDefault="00AC10EA" w:rsidP="49082F14">
            <w:hyperlink r:id="rId19" w:history="1">
              <w:r w:rsidR="00AA73A7" w:rsidRPr="009504CF">
                <w:rPr>
                  <w:rStyle w:val="Hyperlink"/>
                </w:rPr>
                <w:t>https://www.mwcog.org/file.aspx?&amp;A=gURuxYcq4eyiA9%2F4kcUMjbRN6g3gx1CpIlYq9eohxNw%3D</w:t>
              </w:r>
            </w:hyperlink>
          </w:p>
          <w:p w14:paraId="776EF378" w14:textId="48E65989" w:rsidR="00AA73A7" w:rsidRDefault="00AA73A7" w:rsidP="49082F14"/>
        </w:tc>
      </w:tr>
      <w:tr w:rsidR="7B134CFE" w14:paraId="1A3C0FEF" w14:textId="77777777" w:rsidTr="7B134CFE">
        <w:tc>
          <w:tcPr>
            <w:tcW w:w="1435" w:type="dxa"/>
          </w:tcPr>
          <w:p w14:paraId="3A36A0FA" w14:textId="0247496E" w:rsidR="77D81E92" w:rsidRDefault="77D81E92" w:rsidP="7B134CFE">
            <w:r>
              <w:t xml:space="preserve">DC </w:t>
            </w:r>
          </w:p>
        </w:tc>
        <w:tc>
          <w:tcPr>
            <w:tcW w:w="1710" w:type="dxa"/>
          </w:tcPr>
          <w:p w14:paraId="6C35FD29" w14:textId="6EEE21CE" w:rsidR="77D81E92" w:rsidRDefault="77D81E92" w:rsidP="7B134CFE">
            <w:pPr>
              <w:rPr>
                <w:rFonts w:ascii="Calibri" w:eastAsia="Calibri" w:hAnsi="Calibri" w:cs="Calibri"/>
              </w:rPr>
            </w:pPr>
            <w:r w:rsidRPr="7B134CFE">
              <w:rPr>
                <w:rFonts w:ascii="Calibri" w:eastAsia="Calibri" w:hAnsi="Calibri" w:cs="Calibri"/>
              </w:rPr>
              <w:t>Saint Elizabeths Hospital Campus &amp; DC Emergency Communications Microgrid Project</w:t>
            </w:r>
          </w:p>
        </w:tc>
        <w:tc>
          <w:tcPr>
            <w:tcW w:w="1350" w:type="dxa"/>
          </w:tcPr>
          <w:p w14:paraId="067854A2" w14:textId="360038B5" w:rsidR="77D81E92" w:rsidRDefault="77D81E92" w:rsidP="7B134CFE">
            <w:pPr>
              <w:rPr>
                <w:rFonts w:ascii="Calibri" w:eastAsia="Calibri" w:hAnsi="Calibri" w:cs="Calibri"/>
              </w:rPr>
            </w:pPr>
            <w:r w:rsidRPr="7B134CFE">
              <w:rPr>
                <w:rFonts w:ascii="Calibri" w:eastAsia="Calibri" w:hAnsi="Calibri" w:cs="Calibri"/>
              </w:rPr>
              <w:t>$26,514,837.00</w:t>
            </w:r>
          </w:p>
        </w:tc>
        <w:tc>
          <w:tcPr>
            <w:tcW w:w="4865" w:type="dxa"/>
          </w:tcPr>
          <w:p w14:paraId="73403A4A" w14:textId="4EBEF82C" w:rsidR="77D81E92" w:rsidRDefault="77D81E92" w:rsidP="7B134CFE">
            <w:pPr>
              <w:spacing w:line="259" w:lineRule="auto"/>
              <w:rPr>
                <w:rFonts w:ascii="Calibri" w:eastAsia="Calibri" w:hAnsi="Calibri" w:cs="Calibri"/>
              </w:rPr>
            </w:pPr>
            <w:r w:rsidRPr="7B134CFE">
              <w:rPr>
                <w:rFonts w:ascii="Calibri" w:eastAsia="Calibri" w:hAnsi="Calibri" w:cs="Calibri"/>
              </w:rPr>
              <w:t>Pilot a microgrid on the St. Elizabeths East campus to provide energy for the Unified Communications Center (UCC), HSEMA, and the new hospital.</w:t>
            </w:r>
          </w:p>
        </w:tc>
        <w:tc>
          <w:tcPr>
            <w:tcW w:w="2304" w:type="dxa"/>
          </w:tcPr>
          <w:p w14:paraId="06ADDED6" w14:textId="1840F2B9" w:rsidR="65739926" w:rsidRDefault="00AC10EA" w:rsidP="7B134CFE">
            <w:hyperlink r:id="rId20">
              <w:r w:rsidR="65739926" w:rsidRPr="7B134CFE">
                <w:rPr>
                  <w:rStyle w:val="Hyperlink"/>
                </w:rPr>
                <w:t>https://resilientcitiesnetwork.org/downloadable_resources/Network/Washington-DC-Resilience-Strategy-English.pdf</w:t>
              </w:r>
            </w:hyperlink>
          </w:p>
          <w:p w14:paraId="34812609" w14:textId="42D173C9" w:rsidR="7B134CFE" w:rsidRDefault="7B134CFE" w:rsidP="7B134CFE"/>
        </w:tc>
      </w:tr>
      <w:tr w:rsidR="00541910" w14:paraId="6E03EE3A" w14:textId="5FFF93F5" w:rsidTr="7B134CFE">
        <w:tc>
          <w:tcPr>
            <w:tcW w:w="1435" w:type="dxa"/>
          </w:tcPr>
          <w:p w14:paraId="3B525C69" w14:textId="145C7FD4" w:rsidR="00541910" w:rsidRDefault="00541910" w:rsidP="49082F14">
            <w:r>
              <w:t>California</w:t>
            </w:r>
          </w:p>
        </w:tc>
        <w:tc>
          <w:tcPr>
            <w:tcW w:w="1710" w:type="dxa"/>
          </w:tcPr>
          <w:p w14:paraId="5C0D0B35" w14:textId="773A608B" w:rsidR="00541910" w:rsidRDefault="00541910" w:rsidP="49082F14">
            <w:r>
              <w:t>BRIC 2020 City of Rohnert Park Copeland Creek Detention Basin</w:t>
            </w:r>
          </w:p>
        </w:tc>
        <w:tc>
          <w:tcPr>
            <w:tcW w:w="1350" w:type="dxa"/>
          </w:tcPr>
          <w:p w14:paraId="2F0A9E84" w14:textId="54158D79" w:rsidR="00541910" w:rsidRDefault="00AC10EA" w:rsidP="49082F14">
            <w:r>
              <w:t>$</w:t>
            </w:r>
            <w:r w:rsidR="00541910">
              <w:t xml:space="preserve">12.4 </w:t>
            </w:r>
            <w:r>
              <w:t>M</w:t>
            </w:r>
          </w:p>
        </w:tc>
        <w:tc>
          <w:tcPr>
            <w:tcW w:w="4865" w:type="dxa"/>
          </w:tcPr>
          <w:p w14:paraId="789752C7" w14:textId="53894688" w:rsidR="00541910" w:rsidRDefault="00541910" w:rsidP="49082F14">
            <w:pPr>
              <w:spacing w:line="259" w:lineRule="auto"/>
            </w:pPr>
            <w:r>
              <w:t>To construct an off-channel stormwater detention basin on undeveloped</w:t>
            </w:r>
          </w:p>
          <w:p w14:paraId="236BF005" w14:textId="5D995B90" w:rsidR="00541910" w:rsidRDefault="00541910" w:rsidP="49082F14">
            <w:pPr>
              <w:spacing w:line="259" w:lineRule="auto"/>
            </w:pPr>
            <w:r>
              <w:t>pastureland east of Petaluma Hill Road on land owned by the City. The detention basin would be</w:t>
            </w:r>
          </w:p>
          <w:p w14:paraId="5325CAC2" w14:textId="64776973" w:rsidR="00541910" w:rsidRDefault="00541910" w:rsidP="49082F14">
            <w:pPr>
              <w:spacing w:line="259" w:lineRule="auto"/>
            </w:pPr>
            <w:r>
              <w:t>designed to detain a 10-year storm event and other project elements would include associated</w:t>
            </w:r>
          </w:p>
          <w:p w14:paraId="51B57260" w14:textId="7570F4C5" w:rsidR="00541910" w:rsidRDefault="00541910" w:rsidP="49082F14">
            <w:pPr>
              <w:spacing w:line="259" w:lineRule="auto"/>
            </w:pPr>
            <w:r>
              <w:t>maintenance and access structures (for sediment removal) adjacent to Copeland Creek</w:t>
            </w:r>
          </w:p>
        </w:tc>
        <w:tc>
          <w:tcPr>
            <w:tcW w:w="2304" w:type="dxa"/>
          </w:tcPr>
          <w:p w14:paraId="21396A9F" w14:textId="703E082A" w:rsidR="00541910" w:rsidRDefault="00AC10EA" w:rsidP="49082F14">
            <w:hyperlink r:id="rId21">
              <w:r w:rsidR="4E95C163" w:rsidRPr="7B134CFE">
                <w:rPr>
                  <w:rStyle w:val="Hyperlink"/>
                </w:rPr>
                <w:t>https://www.rpcity.org/UserFiles/Servers/Server_3037789/File/Planning/Environmental%20Documents/Notice%20of%20Preparation_CC%20Detention%20Basin%20122017.pdf</w:t>
              </w:r>
            </w:hyperlink>
          </w:p>
          <w:p w14:paraId="6ADC0C25" w14:textId="44616FF5" w:rsidR="00541910" w:rsidRDefault="00541910" w:rsidP="7B134CFE"/>
        </w:tc>
      </w:tr>
      <w:tr w:rsidR="7B134CFE" w14:paraId="24AAB571" w14:textId="77777777" w:rsidTr="7B134CFE">
        <w:tc>
          <w:tcPr>
            <w:tcW w:w="1435" w:type="dxa"/>
          </w:tcPr>
          <w:p w14:paraId="46541239" w14:textId="2E223334" w:rsidR="07307F93" w:rsidRDefault="07307F93" w:rsidP="7B134CFE">
            <w:r>
              <w:t>California</w:t>
            </w:r>
          </w:p>
        </w:tc>
        <w:tc>
          <w:tcPr>
            <w:tcW w:w="1710" w:type="dxa"/>
          </w:tcPr>
          <w:p w14:paraId="2BA3931A" w14:textId="0464C8FE" w:rsidR="07307F93" w:rsidRDefault="07307F93" w:rsidP="7B134CFE">
            <w:pPr>
              <w:rPr>
                <w:rFonts w:ascii="Calibri" w:eastAsia="Calibri" w:hAnsi="Calibri" w:cs="Calibri"/>
              </w:rPr>
            </w:pPr>
            <w:r w:rsidRPr="7B134CFE">
              <w:rPr>
                <w:rFonts w:ascii="Calibri" w:eastAsia="Calibri" w:hAnsi="Calibri" w:cs="Calibri"/>
              </w:rPr>
              <w:t>BRIC 2020, City of Menlo Park, Menlo Park SAFER Bay Project</w:t>
            </w:r>
          </w:p>
        </w:tc>
        <w:tc>
          <w:tcPr>
            <w:tcW w:w="1350" w:type="dxa"/>
          </w:tcPr>
          <w:p w14:paraId="103178FC" w14:textId="4DC5539A" w:rsidR="07307F93" w:rsidRDefault="07307F93" w:rsidP="7B134CFE">
            <w:pPr>
              <w:rPr>
                <w:rFonts w:ascii="Calibri" w:eastAsia="Calibri" w:hAnsi="Calibri" w:cs="Calibri"/>
              </w:rPr>
            </w:pPr>
            <w:r w:rsidRPr="7B134CFE">
              <w:rPr>
                <w:rFonts w:ascii="Calibri" w:eastAsia="Calibri" w:hAnsi="Calibri" w:cs="Calibri"/>
              </w:rPr>
              <w:t>$67,675,087.00</w:t>
            </w:r>
          </w:p>
        </w:tc>
        <w:tc>
          <w:tcPr>
            <w:tcW w:w="4865" w:type="dxa"/>
          </w:tcPr>
          <w:p w14:paraId="73400259" w14:textId="7CD20486" w:rsidR="025A81AC" w:rsidRDefault="025A81AC" w:rsidP="7B134CFE">
            <w:pPr>
              <w:spacing w:line="259" w:lineRule="auto"/>
              <w:rPr>
                <w:rFonts w:ascii="Calibri" w:eastAsia="Calibri" w:hAnsi="Calibri" w:cs="Calibri"/>
              </w:rPr>
            </w:pPr>
            <w:r w:rsidRPr="7B134CFE">
              <w:rPr>
                <w:rFonts w:ascii="Calibri" w:eastAsia="Calibri" w:hAnsi="Calibri" w:cs="Calibri"/>
              </w:rPr>
              <w:t xml:space="preserve">In September, Pacific Gas and Electric Company (PG&amp;E) approached the City about partnering on the fiscal year 2020 FEMA BRIC grant opportunity to address potential flooding and sea level rise impacts to the Ravenswood Electrical Substation near the Dumbarton Bridge and committed $10 million to the effort. The FEMA BRIC grant is a program offering up to $50 million per project to reduce risks from disasters and natural hazards. Consistent with the SAFER Bay project (Attachment B) and the recently completed Dumbarton Bridge West Approach + Adjacent Communities Resilience Study (Attachment C), the project was broadly envisioned to construct an ecotone levee around the substation and potentially along the northern edges of SR 84. The proposed project comprised a portion of the SAFER Bay project alignment known as Reach 5, as shown in Attachment D, and aimed to achieve 100-year coastal flood protection and adaptation to 50 years of projected sea level rise </w:t>
            </w:r>
            <w:r w:rsidRPr="7B134CFE">
              <w:rPr>
                <w:rFonts w:ascii="Calibri" w:eastAsia="Calibri" w:hAnsi="Calibri" w:cs="Calibri"/>
              </w:rPr>
              <w:lastRenderedPageBreak/>
              <w:t>for the substation. Additional project scope included restoration activities in ponds R1/R2 in the adjacent Don Edwards San Francisco Bay National Wildlife Refuge. As envisioned at that time, the total project was estimated to cost $40 million, with the BRIC grant providing $30 million and PG&amp;E providing the required 25 percent local match contribution of $10 million. PG&amp;E and the City, in coordination with the San Francisquito Creek Joint Powers Authority (SFCJPA), collaborated on the required documentation to prepare a notice of interest for the BRIC grant opportunity. The City, acting as the formal project sponsor, was notified that a full project application could proceed and is due to the California Office of Emergency Services (Cal OES) by December 3.</w:t>
            </w:r>
          </w:p>
        </w:tc>
        <w:tc>
          <w:tcPr>
            <w:tcW w:w="2304" w:type="dxa"/>
          </w:tcPr>
          <w:p w14:paraId="57F40417" w14:textId="6285124F" w:rsidR="07307F93" w:rsidRDefault="00AC10EA" w:rsidP="7B134CFE">
            <w:hyperlink r:id="rId22">
              <w:r w:rsidR="07307F93" w:rsidRPr="7B134CFE">
                <w:rPr>
                  <w:rStyle w:val="Hyperlink"/>
                </w:rPr>
                <w:t>https://menlopark.org/DocumentCenter/View/26723/H3-20201117-CC-FEMA-BRIC-grant</w:t>
              </w:r>
            </w:hyperlink>
          </w:p>
          <w:p w14:paraId="7285816B" w14:textId="12015619" w:rsidR="7B134CFE" w:rsidRDefault="7B134CFE" w:rsidP="7B134CFE"/>
        </w:tc>
      </w:tr>
    </w:tbl>
    <w:p w14:paraId="61657E67" w14:textId="77777777" w:rsidR="00975251" w:rsidRDefault="00975251"/>
    <w:sectPr w:rsidR="00975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D4867"/>
    <w:multiLevelType w:val="hybridMultilevel"/>
    <w:tmpl w:val="C5F020E4"/>
    <w:lvl w:ilvl="0" w:tplc="0F441D32">
      <w:start w:val="1"/>
      <w:numFmt w:val="bullet"/>
      <w:lvlText w:val=""/>
      <w:lvlJc w:val="left"/>
      <w:pPr>
        <w:ind w:left="360" w:hanging="360"/>
      </w:pPr>
      <w:rPr>
        <w:rFonts w:ascii="Symbol" w:hAnsi="Symbol" w:hint="default"/>
      </w:rPr>
    </w:lvl>
    <w:lvl w:ilvl="1" w:tplc="5B9A8898">
      <w:start w:val="1"/>
      <w:numFmt w:val="bullet"/>
      <w:lvlText w:val="o"/>
      <w:lvlJc w:val="left"/>
      <w:pPr>
        <w:ind w:left="1080" w:hanging="360"/>
      </w:pPr>
      <w:rPr>
        <w:rFonts w:ascii="Courier New" w:hAnsi="Courier New" w:hint="default"/>
      </w:rPr>
    </w:lvl>
    <w:lvl w:ilvl="2" w:tplc="9F1EB3D8">
      <w:start w:val="1"/>
      <w:numFmt w:val="bullet"/>
      <w:lvlText w:val=""/>
      <w:lvlJc w:val="left"/>
      <w:pPr>
        <w:ind w:left="1800" w:hanging="360"/>
      </w:pPr>
      <w:rPr>
        <w:rFonts w:ascii="Wingdings" w:hAnsi="Wingdings" w:hint="default"/>
      </w:rPr>
    </w:lvl>
    <w:lvl w:ilvl="3" w:tplc="0362386A">
      <w:start w:val="1"/>
      <w:numFmt w:val="bullet"/>
      <w:lvlText w:val=""/>
      <w:lvlJc w:val="left"/>
      <w:pPr>
        <w:ind w:left="2520" w:hanging="360"/>
      </w:pPr>
      <w:rPr>
        <w:rFonts w:ascii="Symbol" w:hAnsi="Symbol" w:hint="default"/>
      </w:rPr>
    </w:lvl>
    <w:lvl w:ilvl="4" w:tplc="BCD852EE">
      <w:start w:val="1"/>
      <w:numFmt w:val="bullet"/>
      <w:lvlText w:val="o"/>
      <w:lvlJc w:val="left"/>
      <w:pPr>
        <w:ind w:left="3240" w:hanging="360"/>
      </w:pPr>
      <w:rPr>
        <w:rFonts w:ascii="Courier New" w:hAnsi="Courier New" w:hint="default"/>
      </w:rPr>
    </w:lvl>
    <w:lvl w:ilvl="5" w:tplc="C6C64B72">
      <w:start w:val="1"/>
      <w:numFmt w:val="bullet"/>
      <w:lvlText w:val=""/>
      <w:lvlJc w:val="left"/>
      <w:pPr>
        <w:ind w:left="3960" w:hanging="360"/>
      </w:pPr>
      <w:rPr>
        <w:rFonts w:ascii="Wingdings" w:hAnsi="Wingdings" w:hint="default"/>
      </w:rPr>
    </w:lvl>
    <w:lvl w:ilvl="6" w:tplc="BBCC26EC">
      <w:start w:val="1"/>
      <w:numFmt w:val="bullet"/>
      <w:lvlText w:val=""/>
      <w:lvlJc w:val="left"/>
      <w:pPr>
        <w:ind w:left="4680" w:hanging="360"/>
      </w:pPr>
      <w:rPr>
        <w:rFonts w:ascii="Symbol" w:hAnsi="Symbol" w:hint="default"/>
      </w:rPr>
    </w:lvl>
    <w:lvl w:ilvl="7" w:tplc="936C0522">
      <w:start w:val="1"/>
      <w:numFmt w:val="bullet"/>
      <w:lvlText w:val="o"/>
      <w:lvlJc w:val="left"/>
      <w:pPr>
        <w:ind w:left="5400" w:hanging="360"/>
      </w:pPr>
      <w:rPr>
        <w:rFonts w:ascii="Courier New" w:hAnsi="Courier New" w:hint="default"/>
      </w:rPr>
    </w:lvl>
    <w:lvl w:ilvl="8" w:tplc="37D69590">
      <w:start w:val="1"/>
      <w:numFmt w:val="bullet"/>
      <w:lvlText w:val=""/>
      <w:lvlJc w:val="left"/>
      <w:pPr>
        <w:ind w:left="6120" w:hanging="360"/>
      </w:pPr>
      <w:rPr>
        <w:rFonts w:ascii="Wingdings" w:hAnsi="Wingdings" w:hint="default"/>
      </w:rPr>
    </w:lvl>
  </w:abstractNum>
  <w:abstractNum w:abstractNumId="1" w15:restartNumberingAfterBreak="0">
    <w:nsid w:val="2EE366EA"/>
    <w:multiLevelType w:val="hybridMultilevel"/>
    <w:tmpl w:val="BE369F80"/>
    <w:lvl w:ilvl="0" w:tplc="8CC002A6">
      <w:start w:val="1"/>
      <w:numFmt w:val="bullet"/>
      <w:lvlText w:val=""/>
      <w:lvlJc w:val="left"/>
      <w:pPr>
        <w:ind w:left="720" w:hanging="360"/>
      </w:pPr>
      <w:rPr>
        <w:rFonts w:ascii="Symbol" w:hAnsi="Symbol" w:hint="default"/>
      </w:rPr>
    </w:lvl>
    <w:lvl w:ilvl="1" w:tplc="053E7B94">
      <w:start w:val="1"/>
      <w:numFmt w:val="bullet"/>
      <w:lvlText w:val="o"/>
      <w:lvlJc w:val="left"/>
      <w:pPr>
        <w:ind w:left="1440" w:hanging="360"/>
      </w:pPr>
      <w:rPr>
        <w:rFonts w:ascii="Courier New" w:hAnsi="Courier New" w:hint="default"/>
      </w:rPr>
    </w:lvl>
    <w:lvl w:ilvl="2" w:tplc="608EB8FE">
      <w:start w:val="1"/>
      <w:numFmt w:val="bullet"/>
      <w:lvlText w:val=""/>
      <w:lvlJc w:val="left"/>
      <w:pPr>
        <w:ind w:left="2160" w:hanging="360"/>
      </w:pPr>
      <w:rPr>
        <w:rFonts w:ascii="Wingdings" w:hAnsi="Wingdings" w:hint="default"/>
      </w:rPr>
    </w:lvl>
    <w:lvl w:ilvl="3" w:tplc="903CC4A8">
      <w:start w:val="1"/>
      <w:numFmt w:val="bullet"/>
      <w:lvlText w:val=""/>
      <w:lvlJc w:val="left"/>
      <w:pPr>
        <w:ind w:left="2880" w:hanging="360"/>
      </w:pPr>
      <w:rPr>
        <w:rFonts w:ascii="Symbol" w:hAnsi="Symbol" w:hint="default"/>
      </w:rPr>
    </w:lvl>
    <w:lvl w:ilvl="4" w:tplc="13D2AB14">
      <w:start w:val="1"/>
      <w:numFmt w:val="bullet"/>
      <w:lvlText w:val="o"/>
      <w:lvlJc w:val="left"/>
      <w:pPr>
        <w:ind w:left="3600" w:hanging="360"/>
      </w:pPr>
      <w:rPr>
        <w:rFonts w:ascii="Courier New" w:hAnsi="Courier New" w:hint="default"/>
      </w:rPr>
    </w:lvl>
    <w:lvl w:ilvl="5" w:tplc="A9E09238">
      <w:start w:val="1"/>
      <w:numFmt w:val="bullet"/>
      <w:lvlText w:val=""/>
      <w:lvlJc w:val="left"/>
      <w:pPr>
        <w:ind w:left="4320" w:hanging="360"/>
      </w:pPr>
      <w:rPr>
        <w:rFonts w:ascii="Wingdings" w:hAnsi="Wingdings" w:hint="default"/>
      </w:rPr>
    </w:lvl>
    <w:lvl w:ilvl="6" w:tplc="EBD0169C">
      <w:start w:val="1"/>
      <w:numFmt w:val="bullet"/>
      <w:lvlText w:val=""/>
      <w:lvlJc w:val="left"/>
      <w:pPr>
        <w:ind w:left="5040" w:hanging="360"/>
      </w:pPr>
      <w:rPr>
        <w:rFonts w:ascii="Symbol" w:hAnsi="Symbol" w:hint="default"/>
      </w:rPr>
    </w:lvl>
    <w:lvl w:ilvl="7" w:tplc="E82C8DF4">
      <w:start w:val="1"/>
      <w:numFmt w:val="bullet"/>
      <w:lvlText w:val="o"/>
      <w:lvlJc w:val="left"/>
      <w:pPr>
        <w:ind w:left="5760" w:hanging="360"/>
      </w:pPr>
      <w:rPr>
        <w:rFonts w:ascii="Courier New" w:hAnsi="Courier New" w:hint="default"/>
      </w:rPr>
    </w:lvl>
    <w:lvl w:ilvl="8" w:tplc="460A5A46">
      <w:start w:val="1"/>
      <w:numFmt w:val="bullet"/>
      <w:lvlText w:val=""/>
      <w:lvlJc w:val="left"/>
      <w:pPr>
        <w:ind w:left="6480" w:hanging="360"/>
      </w:pPr>
      <w:rPr>
        <w:rFonts w:ascii="Wingdings" w:hAnsi="Wingdings" w:hint="default"/>
      </w:rPr>
    </w:lvl>
  </w:abstractNum>
  <w:abstractNum w:abstractNumId="2" w15:restartNumberingAfterBreak="0">
    <w:nsid w:val="30FE3FA6"/>
    <w:multiLevelType w:val="hybridMultilevel"/>
    <w:tmpl w:val="E6B8B7C8"/>
    <w:lvl w:ilvl="0" w:tplc="1D6AD552">
      <w:start w:val="1"/>
      <w:numFmt w:val="bullet"/>
      <w:lvlText w:val=""/>
      <w:lvlJc w:val="left"/>
      <w:pPr>
        <w:ind w:left="360" w:hanging="360"/>
      </w:pPr>
      <w:rPr>
        <w:rFonts w:ascii="Symbol" w:hAnsi="Symbol" w:hint="default"/>
      </w:rPr>
    </w:lvl>
    <w:lvl w:ilvl="1" w:tplc="45C2AE66">
      <w:start w:val="1"/>
      <w:numFmt w:val="bullet"/>
      <w:lvlText w:val="o"/>
      <w:lvlJc w:val="left"/>
      <w:pPr>
        <w:ind w:left="1080" w:hanging="360"/>
      </w:pPr>
      <w:rPr>
        <w:rFonts w:ascii="Courier New" w:hAnsi="Courier New" w:hint="default"/>
      </w:rPr>
    </w:lvl>
    <w:lvl w:ilvl="2" w:tplc="3224EEFE">
      <w:start w:val="1"/>
      <w:numFmt w:val="bullet"/>
      <w:lvlText w:val=""/>
      <w:lvlJc w:val="left"/>
      <w:pPr>
        <w:ind w:left="1800" w:hanging="360"/>
      </w:pPr>
      <w:rPr>
        <w:rFonts w:ascii="Wingdings" w:hAnsi="Wingdings" w:hint="default"/>
      </w:rPr>
    </w:lvl>
    <w:lvl w:ilvl="3" w:tplc="185E3576">
      <w:start w:val="1"/>
      <w:numFmt w:val="bullet"/>
      <w:lvlText w:val=""/>
      <w:lvlJc w:val="left"/>
      <w:pPr>
        <w:ind w:left="2520" w:hanging="360"/>
      </w:pPr>
      <w:rPr>
        <w:rFonts w:ascii="Symbol" w:hAnsi="Symbol" w:hint="default"/>
      </w:rPr>
    </w:lvl>
    <w:lvl w:ilvl="4" w:tplc="58B20EB8">
      <w:start w:val="1"/>
      <w:numFmt w:val="bullet"/>
      <w:lvlText w:val="o"/>
      <w:lvlJc w:val="left"/>
      <w:pPr>
        <w:ind w:left="3240" w:hanging="360"/>
      </w:pPr>
      <w:rPr>
        <w:rFonts w:ascii="Courier New" w:hAnsi="Courier New" w:hint="default"/>
      </w:rPr>
    </w:lvl>
    <w:lvl w:ilvl="5" w:tplc="000C4F20">
      <w:start w:val="1"/>
      <w:numFmt w:val="bullet"/>
      <w:lvlText w:val=""/>
      <w:lvlJc w:val="left"/>
      <w:pPr>
        <w:ind w:left="3960" w:hanging="360"/>
      </w:pPr>
      <w:rPr>
        <w:rFonts w:ascii="Wingdings" w:hAnsi="Wingdings" w:hint="default"/>
      </w:rPr>
    </w:lvl>
    <w:lvl w:ilvl="6" w:tplc="D8DC0E32">
      <w:start w:val="1"/>
      <w:numFmt w:val="bullet"/>
      <w:lvlText w:val=""/>
      <w:lvlJc w:val="left"/>
      <w:pPr>
        <w:ind w:left="4680" w:hanging="360"/>
      </w:pPr>
      <w:rPr>
        <w:rFonts w:ascii="Symbol" w:hAnsi="Symbol" w:hint="default"/>
      </w:rPr>
    </w:lvl>
    <w:lvl w:ilvl="7" w:tplc="14A2D58E">
      <w:start w:val="1"/>
      <w:numFmt w:val="bullet"/>
      <w:lvlText w:val="o"/>
      <w:lvlJc w:val="left"/>
      <w:pPr>
        <w:ind w:left="5400" w:hanging="360"/>
      </w:pPr>
      <w:rPr>
        <w:rFonts w:ascii="Courier New" w:hAnsi="Courier New" w:hint="default"/>
      </w:rPr>
    </w:lvl>
    <w:lvl w:ilvl="8" w:tplc="5D423E70">
      <w:start w:val="1"/>
      <w:numFmt w:val="bullet"/>
      <w:lvlText w:val=""/>
      <w:lvlJc w:val="left"/>
      <w:pPr>
        <w:ind w:left="6120" w:hanging="360"/>
      </w:pPr>
      <w:rPr>
        <w:rFonts w:ascii="Wingdings" w:hAnsi="Wingdings" w:hint="default"/>
      </w:rPr>
    </w:lvl>
  </w:abstractNum>
  <w:abstractNum w:abstractNumId="3" w15:restartNumberingAfterBreak="0">
    <w:nsid w:val="33980326"/>
    <w:multiLevelType w:val="hybridMultilevel"/>
    <w:tmpl w:val="DA860A5E"/>
    <w:lvl w:ilvl="0" w:tplc="26560270">
      <w:start w:val="1"/>
      <w:numFmt w:val="decimal"/>
      <w:lvlText w:val="%1."/>
      <w:lvlJc w:val="left"/>
      <w:pPr>
        <w:ind w:left="720" w:hanging="360"/>
      </w:pPr>
    </w:lvl>
    <w:lvl w:ilvl="1" w:tplc="F8AEEB4C">
      <w:start w:val="1"/>
      <w:numFmt w:val="lowerLetter"/>
      <w:lvlText w:val="%2."/>
      <w:lvlJc w:val="left"/>
      <w:pPr>
        <w:ind w:left="1440" w:hanging="360"/>
      </w:pPr>
    </w:lvl>
    <w:lvl w:ilvl="2" w:tplc="84426392">
      <w:start w:val="1"/>
      <w:numFmt w:val="lowerRoman"/>
      <w:lvlText w:val="%3."/>
      <w:lvlJc w:val="right"/>
      <w:pPr>
        <w:ind w:left="2160" w:hanging="180"/>
      </w:pPr>
    </w:lvl>
    <w:lvl w:ilvl="3" w:tplc="57E8D966">
      <w:start w:val="1"/>
      <w:numFmt w:val="decimal"/>
      <w:lvlText w:val="%4."/>
      <w:lvlJc w:val="left"/>
      <w:pPr>
        <w:ind w:left="2880" w:hanging="360"/>
      </w:pPr>
    </w:lvl>
    <w:lvl w:ilvl="4" w:tplc="BC7C63EA">
      <w:start w:val="1"/>
      <w:numFmt w:val="lowerLetter"/>
      <w:lvlText w:val="%5."/>
      <w:lvlJc w:val="left"/>
      <w:pPr>
        <w:ind w:left="3600" w:hanging="360"/>
      </w:pPr>
    </w:lvl>
    <w:lvl w:ilvl="5" w:tplc="7CFAE48A">
      <w:start w:val="1"/>
      <w:numFmt w:val="lowerRoman"/>
      <w:lvlText w:val="%6."/>
      <w:lvlJc w:val="right"/>
      <w:pPr>
        <w:ind w:left="4320" w:hanging="180"/>
      </w:pPr>
    </w:lvl>
    <w:lvl w:ilvl="6" w:tplc="122C605A">
      <w:start w:val="1"/>
      <w:numFmt w:val="decimal"/>
      <w:lvlText w:val="%7."/>
      <w:lvlJc w:val="left"/>
      <w:pPr>
        <w:ind w:left="5040" w:hanging="360"/>
      </w:pPr>
    </w:lvl>
    <w:lvl w:ilvl="7" w:tplc="EA8A35B6">
      <w:start w:val="1"/>
      <w:numFmt w:val="lowerLetter"/>
      <w:lvlText w:val="%8."/>
      <w:lvlJc w:val="left"/>
      <w:pPr>
        <w:ind w:left="5760" w:hanging="360"/>
      </w:pPr>
    </w:lvl>
    <w:lvl w:ilvl="8" w:tplc="D3F644A4">
      <w:start w:val="1"/>
      <w:numFmt w:val="lowerRoman"/>
      <w:lvlText w:val="%9."/>
      <w:lvlJc w:val="right"/>
      <w:pPr>
        <w:ind w:left="6480" w:hanging="180"/>
      </w:pPr>
    </w:lvl>
  </w:abstractNum>
  <w:abstractNum w:abstractNumId="4" w15:restartNumberingAfterBreak="0">
    <w:nsid w:val="41580ADF"/>
    <w:multiLevelType w:val="hybridMultilevel"/>
    <w:tmpl w:val="93A8FB1C"/>
    <w:lvl w:ilvl="0" w:tplc="E490FD1C">
      <w:start w:val="1"/>
      <w:numFmt w:val="bullet"/>
      <w:lvlText w:val=""/>
      <w:lvlJc w:val="left"/>
      <w:pPr>
        <w:ind w:left="720" w:hanging="360"/>
      </w:pPr>
      <w:rPr>
        <w:rFonts w:ascii="Symbol" w:hAnsi="Symbol" w:hint="default"/>
      </w:rPr>
    </w:lvl>
    <w:lvl w:ilvl="1" w:tplc="E7B8358E">
      <w:start w:val="1"/>
      <w:numFmt w:val="bullet"/>
      <w:lvlText w:val="o"/>
      <w:lvlJc w:val="left"/>
      <w:pPr>
        <w:ind w:left="1440" w:hanging="360"/>
      </w:pPr>
      <w:rPr>
        <w:rFonts w:ascii="Courier New" w:hAnsi="Courier New" w:hint="default"/>
      </w:rPr>
    </w:lvl>
    <w:lvl w:ilvl="2" w:tplc="0800671A">
      <w:start w:val="1"/>
      <w:numFmt w:val="bullet"/>
      <w:lvlText w:val=""/>
      <w:lvlJc w:val="left"/>
      <w:pPr>
        <w:ind w:left="2160" w:hanging="360"/>
      </w:pPr>
      <w:rPr>
        <w:rFonts w:ascii="Wingdings" w:hAnsi="Wingdings" w:hint="default"/>
      </w:rPr>
    </w:lvl>
    <w:lvl w:ilvl="3" w:tplc="D1C4FCB2">
      <w:start w:val="1"/>
      <w:numFmt w:val="bullet"/>
      <w:lvlText w:val=""/>
      <w:lvlJc w:val="left"/>
      <w:pPr>
        <w:ind w:left="2880" w:hanging="360"/>
      </w:pPr>
      <w:rPr>
        <w:rFonts w:ascii="Symbol" w:hAnsi="Symbol" w:hint="default"/>
      </w:rPr>
    </w:lvl>
    <w:lvl w:ilvl="4" w:tplc="E00A9BC2">
      <w:start w:val="1"/>
      <w:numFmt w:val="bullet"/>
      <w:lvlText w:val="o"/>
      <w:lvlJc w:val="left"/>
      <w:pPr>
        <w:ind w:left="3600" w:hanging="360"/>
      </w:pPr>
      <w:rPr>
        <w:rFonts w:ascii="Courier New" w:hAnsi="Courier New" w:hint="default"/>
      </w:rPr>
    </w:lvl>
    <w:lvl w:ilvl="5" w:tplc="C8D62DA0">
      <w:start w:val="1"/>
      <w:numFmt w:val="bullet"/>
      <w:lvlText w:val=""/>
      <w:lvlJc w:val="left"/>
      <w:pPr>
        <w:ind w:left="4320" w:hanging="360"/>
      </w:pPr>
      <w:rPr>
        <w:rFonts w:ascii="Wingdings" w:hAnsi="Wingdings" w:hint="default"/>
      </w:rPr>
    </w:lvl>
    <w:lvl w:ilvl="6" w:tplc="DB806412">
      <w:start w:val="1"/>
      <w:numFmt w:val="bullet"/>
      <w:lvlText w:val=""/>
      <w:lvlJc w:val="left"/>
      <w:pPr>
        <w:ind w:left="5040" w:hanging="360"/>
      </w:pPr>
      <w:rPr>
        <w:rFonts w:ascii="Symbol" w:hAnsi="Symbol" w:hint="default"/>
      </w:rPr>
    </w:lvl>
    <w:lvl w:ilvl="7" w:tplc="6CAC7088">
      <w:start w:val="1"/>
      <w:numFmt w:val="bullet"/>
      <w:lvlText w:val="o"/>
      <w:lvlJc w:val="left"/>
      <w:pPr>
        <w:ind w:left="5760" w:hanging="360"/>
      </w:pPr>
      <w:rPr>
        <w:rFonts w:ascii="Courier New" w:hAnsi="Courier New" w:hint="default"/>
      </w:rPr>
    </w:lvl>
    <w:lvl w:ilvl="8" w:tplc="B5982A68">
      <w:start w:val="1"/>
      <w:numFmt w:val="bullet"/>
      <w:lvlText w:val=""/>
      <w:lvlJc w:val="left"/>
      <w:pPr>
        <w:ind w:left="6480" w:hanging="360"/>
      </w:pPr>
      <w:rPr>
        <w:rFonts w:ascii="Wingdings" w:hAnsi="Wingdings" w:hint="default"/>
      </w:rPr>
    </w:lvl>
  </w:abstractNum>
  <w:abstractNum w:abstractNumId="5" w15:restartNumberingAfterBreak="0">
    <w:nsid w:val="5D8B62D2"/>
    <w:multiLevelType w:val="hybridMultilevel"/>
    <w:tmpl w:val="B450ED7A"/>
    <w:lvl w:ilvl="0" w:tplc="F39EB02E">
      <w:start w:val="1"/>
      <w:numFmt w:val="bullet"/>
      <w:lvlText w:val=""/>
      <w:lvlJc w:val="left"/>
      <w:pPr>
        <w:ind w:left="720" w:hanging="360"/>
      </w:pPr>
      <w:rPr>
        <w:rFonts w:ascii="Symbol" w:hAnsi="Symbol" w:hint="default"/>
      </w:rPr>
    </w:lvl>
    <w:lvl w:ilvl="1" w:tplc="45285C40">
      <w:start w:val="1"/>
      <w:numFmt w:val="bullet"/>
      <w:lvlText w:val="o"/>
      <w:lvlJc w:val="left"/>
      <w:pPr>
        <w:ind w:left="1440" w:hanging="360"/>
      </w:pPr>
      <w:rPr>
        <w:rFonts w:ascii="Courier New" w:hAnsi="Courier New" w:hint="default"/>
      </w:rPr>
    </w:lvl>
    <w:lvl w:ilvl="2" w:tplc="55D08330">
      <w:start w:val="1"/>
      <w:numFmt w:val="bullet"/>
      <w:lvlText w:val=""/>
      <w:lvlJc w:val="left"/>
      <w:pPr>
        <w:ind w:left="2160" w:hanging="360"/>
      </w:pPr>
      <w:rPr>
        <w:rFonts w:ascii="Wingdings" w:hAnsi="Wingdings" w:hint="default"/>
      </w:rPr>
    </w:lvl>
    <w:lvl w:ilvl="3" w:tplc="53B84284">
      <w:start w:val="1"/>
      <w:numFmt w:val="bullet"/>
      <w:lvlText w:val=""/>
      <w:lvlJc w:val="left"/>
      <w:pPr>
        <w:ind w:left="2880" w:hanging="360"/>
      </w:pPr>
      <w:rPr>
        <w:rFonts w:ascii="Symbol" w:hAnsi="Symbol" w:hint="default"/>
      </w:rPr>
    </w:lvl>
    <w:lvl w:ilvl="4" w:tplc="2FF061C0">
      <w:start w:val="1"/>
      <w:numFmt w:val="bullet"/>
      <w:lvlText w:val="o"/>
      <w:lvlJc w:val="left"/>
      <w:pPr>
        <w:ind w:left="3600" w:hanging="360"/>
      </w:pPr>
      <w:rPr>
        <w:rFonts w:ascii="Courier New" w:hAnsi="Courier New" w:hint="default"/>
      </w:rPr>
    </w:lvl>
    <w:lvl w:ilvl="5" w:tplc="8A987C38">
      <w:start w:val="1"/>
      <w:numFmt w:val="bullet"/>
      <w:lvlText w:val=""/>
      <w:lvlJc w:val="left"/>
      <w:pPr>
        <w:ind w:left="4320" w:hanging="360"/>
      </w:pPr>
      <w:rPr>
        <w:rFonts w:ascii="Wingdings" w:hAnsi="Wingdings" w:hint="default"/>
      </w:rPr>
    </w:lvl>
    <w:lvl w:ilvl="6" w:tplc="14742556">
      <w:start w:val="1"/>
      <w:numFmt w:val="bullet"/>
      <w:lvlText w:val=""/>
      <w:lvlJc w:val="left"/>
      <w:pPr>
        <w:ind w:left="5040" w:hanging="360"/>
      </w:pPr>
      <w:rPr>
        <w:rFonts w:ascii="Symbol" w:hAnsi="Symbol" w:hint="default"/>
      </w:rPr>
    </w:lvl>
    <w:lvl w:ilvl="7" w:tplc="D56870EE">
      <w:start w:val="1"/>
      <w:numFmt w:val="bullet"/>
      <w:lvlText w:val="o"/>
      <w:lvlJc w:val="left"/>
      <w:pPr>
        <w:ind w:left="5760" w:hanging="360"/>
      </w:pPr>
      <w:rPr>
        <w:rFonts w:ascii="Courier New" w:hAnsi="Courier New" w:hint="default"/>
      </w:rPr>
    </w:lvl>
    <w:lvl w:ilvl="8" w:tplc="EE140892">
      <w:start w:val="1"/>
      <w:numFmt w:val="bullet"/>
      <w:lvlText w:val=""/>
      <w:lvlJc w:val="left"/>
      <w:pPr>
        <w:ind w:left="6480" w:hanging="360"/>
      </w:pPr>
      <w:rPr>
        <w:rFonts w:ascii="Wingdings" w:hAnsi="Wingdings" w:hint="default"/>
      </w:rPr>
    </w:lvl>
  </w:abstractNum>
  <w:abstractNum w:abstractNumId="6" w15:restartNumberingAfterBreak="0">
    <w:nsid w:val="6D28685A"/>
    <w:multiLevelType w:val="hybridMultilevel"/>
    <w:tmpl w:val="15B8A160"/>
    <w:lvl w:ilvl="0" w:tplc="66F41FE2">
      <w:start w:val="1"/>
      <w:numFmt w:val="decimal"/>
      <w:lvlText w:val="%1."/>
      <w:lvlJc w:val="left"/>
      <w:pPr>
        <w:ind w:left="720" w:hanging="360"/>
      </w:pPr>
    </w:lvl>
    <w:lvl w:ilvl="1" w:tplc="68EECC50">
      <w:start w:val="1"/>
      <w:numFmt w:val="lowerLetter"/>
      <w:lvlText w:val="%2."/>
      <w:lvlJc w:val="left"/>
      <w:pPr>
        <w:ind w:left="1440" w:hanging="360"/>
      </w:pPr>
    </w:lvl>
    <w:lvl w:ilvl="2" w:tplc="C42A24B2">
      <w:start w:val="1"/>
      <w:numFmt w:val="lowerRoman"/>
      <w:lvlText w:val="%3."/>
      <w:lvlJc w:val="right"/>
      <w:pPr>
        <w:ind w:left="2160" w:hanging="180"/>
      </w:pPr>
    </w:lvl>
    <w:lvl w:ilvl="3" w:tplc="11CE52D6">
      <w:start w:val="1"/>
      <w:numFmt w:val="decimal"/>
      <w:lvlText w:val="%4."/>
      <w:lvlJc w:val="left"/>
      <w:pPr>
        <w:ind w:left="2880" w:hanging="360"/>
      </w:pPr>
    </w:lvl>
    <w:lvl w:ilvl="4" w:tplc="636208DE">
      <w:start w:val="1"/>
      <w:numFmt w:val="lowerLetter"/>
      <w:lvlText w:val="%5."/>
      <w:lvlJc w:val="left"/>
      <w:pPr>
        <w:ind w:left="3600" w:hanging="360"/>
      </w:pPr>
    </w:lvl>
    <w:lvl w:ilvl="5" w:tplc="95160720">
      <w:start w:val="1"/>
      <w:numFmt w:val="lowerRoman"/>
      <w:lvlText w:val="%6."/>
      <w:lvlJc w:val="right"/>
      <w:pPr>
        <w:ind w:left="4320" w:hanging="180"/>
      </w:pPr>
    </w:lvl>
    <w:lvl w:ilvl="6" w:tplc="C8283D0E">
      <w:start w:val="1"/>
      <w:numFmt w:val="decimal"/>
      <w:lvlText w:val="%7."/>
      <w:lvlJc w:val="left"/>
      <w:pPr>
        <w:ind w:left="5040" w:hanging="360"/>
      </w:pPr>
    </w:lvl>
    <w:lvl w:ilvl="7" w:tplc="A22E32E0">
      <w:start w:val="1"/>
      <w:numFmt w:val="lowerLetter"/>
      <w:lvlText w:val="%8."/>
      <w:lvlJc w:val="left"/>
      <w:pPr>
        <w:ind w:left="5760" w:hanging="360"/>
      </w:pPr>
    </w:lvl>
    <w:lvl w:ilvl="8" w:tplc="1736D560">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031D77"/>
    <w:rsid w:val="00541910"/>
    <w:rsid w:val="005F0B37"/>
    <w:rsid w:val="00975251"/>
    <w:rsid w:val="00AA73A7"/>
    <w:rsid w:val="00AC10EA"/>
    <w:rsid w:val="00AD21E8"/>
    <w:rsid w:val="00BA2566"/>
    <w:rsid w:val="00C60A75"/>
    <w:rsid w:val="00D55EE2"/>
    <w:rsid w:val="00E724FD"/>
    <w:rsid w:val="00F018F7"/>
    <w:rsid w:val="01504187"/>
    <w:rsid w:val="01695E5C"/>
    <w:rsid w:val="025A81AC"/>
    <w:rsid w:val="02D4A566"/>
    <w:rsid w:val="02F8CFCA"/>
    <w:rsid w:val="038CE2D7"/>
    <w:rsid w:val="063D2525"/>
    <w:rsid w:val="0660F80C"/>
    <w:rsid w:val="07307F93"/>
    <w:rsid w:val="07A3E92A"/>
    <w:rsid w:val="0A0B18CC"/>
    <w:rsid w:val="0ADCB5C9"/>
    <w:rsid w:val="0C4E2D4D"/>
    <w:rsid w:val="0D29D1C4"/>
    <w:rsid w:val="0D3202D2"/>
    <w:rsid w:val="0DEC9032"/>
    <w:rsid w:val="0EC61751"/>
    <w:rsid w:val="0F5F02AA"/>
    <w:rsid w:val="0FA77BC9"/>
    <w:rsid w:val="12E7AF4C"/>
    <w:rsid w:val="131683E7"/>
    <w:rsid w:val="13C7B4A7"/>
    <w:rsid w:val="15609D0B"/>
    <w:rsid w:val="15ED0FAB"/>
    <w:rsid w:val="1712F130"/>
    <w:rsid w:val="1A33D069"/>
    <w:rsid w:val="1AC6ED1F"/>
    <w:rsid w:val="1B005851"/>
    <w:rsid w:val="1B8DD48C"/>
    <w:rsid w:val="1C031D77"/>
    <w:rsid w:val="1CDCBD35"/>
    <w:rsid w:val="1D7F84B4"/>
    <w:rsid w:val="1DB19992"/>
    <w:rsid w:val="1ECE4503"/>
    <w:rsid w:val="207F83D6"/>
    <w:rsid w:val="21728A15"/>
    <w:rsid w:val="2175A85B"/>
    <w:rsid w:val="222F6BCE"/>
    <w:rsid w:val="2302F0CB"/>
    <w:rsid w:val="248E123A"/>
    <w:rsid w:val="24AFACE8"/>
    <w:rsid w:val="2544AE23"/>
    <w:rsid w:val="2549DFA1"/>
    <w:rsid w:val="25DD7F46"/>
    <w:rsid w:val="26A41CA2"/>
    <w:rsid w:val="2764C78C"/>
    <w:rsid w:val="27900670"/>
    <w:rsid w:val="280718FE"/>
    <w:rsid w:val="299EC01D"/>
    <w:rsid w:val="29D8FF64"/>
    <w:rsid w:val="2AECB0E5"/>
    <w:rsid w:val="2B05C60F"/>
    <w:rsid w:val="2C226AD7"/>
    <w:rsid w:val="2D6C4878"/>
    <w:rsid w:val="2D97CA8D"/>
    <w:rsid w:val="2DC91F46"/>
    <w:rsid w:val="2DC9FB6F"/>
    <w:rsid w:val="304B1349"/>
    <w:rsid w:val="30550930"/>
    <w:rsid w:val="3084B051"/>
    <w:rsid w:val="30C1233D"/>
    <w:rsid w:val="30EF2359"/>
    <w:rsid w:val="31B62162"/>
    <w:rsid w:val="31E6E3AA"/>
    <w:rsid w:val="3276CC56"/>
    <w:rsid w:val="3303E8A3"/>
    <w:rsid w:val="33934886"/>
    <w:rsid w:val="33AB5259"/>
    <w:rsid w:val="34F1B0BD"/>
    <w:rsid w:val="355F51CB"/>
    <w:rsid w:val="36B3C3C6"/>
    <w:rsid w:val="36BD9E1D"/>
    <w:rsid w:val="376AE68E"/>
    <w:rsid w:val="3826D901"/>
    <w:rsid w:val="38AA06D6"/>
    <w:rsid w:val="39F9B270"/>
    <w:rsid w:val="3A296788"/>
    <w:rsid w:val="3A4FE439"/>
    <w:rsid w:val="3A8FB124"/>
    <w:rsid w:val="3AAFD485"/>
    <w:rsid w:val="3AE5B882"/>
    <w:rsid w:val="3B5BC876"/>
    <w:rsid w:val="3D30C613"/>
    <w:rsid w:val="3D31130C"/>
    <w:rsid w:val="3D5435F3"/>
    <w:rsid w:val="3DB0E80C"/>
    <w:rsid w:val="3F2ED132"/>
    <w:rsid w:val="40730198"/>
    <w:rsid w:val="40B67941"/>
    <w:rsid w:val="4330D3C0"/>
    <w:rsid w:val="442E3EE3"/>
    <w:rsid w:val="44574E43"/>
    <w:rsid w:val="4634A890"/>
    <w:rsid w:val="466CC261"/>
    <w:rsid w:val="47E9320A"/>
    <w:rsid w:val="49082F14"/>
    <w:rsid w:val="494EECDF"/>
    <w:rsid w:val="4AB3A69C"/>
    <w:rsid w:val="4BE2C9D1"/>
    <w:rsid w:val="4CE48345"/>
    <w:rsid w:val="4D57F3BF"/>
    <w:rsid w:val="4E95C163"/>
    <w:rsid w:val="4F377193"/>
    <w:rsid w:val="51901450"/>
    <w:rsid w:val="527F86A9"/>
    <w:rsid w:val="53478738"/>
    <w:rsid w:val="5410FE50"/>
    <w:rsid w:val="5423BD2F"/>
    <w:rsid w:val="55CD0253"/>
    <w:rsid w:val="5683230E"/>
    <w:rsid w:val="56E2A320"/>
    <w:rsid w:val="5715B31D"/>
    <w:rsid w:val="58190A16"/>
    <w:rsid w:val="59316E65"/>
    <w:rsid w:val="5A2D44B8"/>
    <w:rsid w:val="5BFCB455"/>
    <w:rsid w:val="5C253778"/>
    <w:rsid w:val="5C93B34A"/>
    <w:rsid w:val="5CC50A33"/>
    <w:rsid w:val="5E37D803"/>
    <w:rsid w:val="5EE26B6F"/>
    <w:rsid w:val="60109C6C"/>
    <w:rsid w:val="60D057ED"/>
    <w:rsid w:val="60FD7DA8"/>
    <w:rsid w:val="61C5087E"/>
    <w:rsid w:val="61DF2CAF"/>
    <w:rsid w:val="630F0C14"/>
    <w:rsid w:val="641E3A3A"/>
    <w:rsid w:val="64DBCC4A"/>
    <w:rsid w:val="65739926"/>
    <w:rsid w:val="65B87372"/>
    <w:rsid w:val="662C6BB1"/>
    <w:rsid w:val="6682B9C4"/>
    <w:rsid w:val="677C1C83"/>
    <w:rsid w:val="694C578C"/>
    <w:rsid w:val="6AA7871C"/>
    <w:rsid w:val="6B3DA06E"/>
    <w:rsid w:val="6B70A9F8"/>
    <w:rsid w:val="6B83BD13"/>
    <w:rsid w:val="6BC694D0"/>
    <w:rsid w:val="6C9D200C"/>
    <w:rsid w:val="6E0363F4"/>
    <w:rsid w:val="6E38F06D"/>
    <w:rsid w:val="6F526667"/>
    <w:rsid w:val="6F93B0BA"/>
    <w:rsid w:val="6F9F3455"/>
    <w:rsid w:val="713B04B6"/>
    <w:rsid w:val="71EE3464"/>
    <w:rsid w:val="72AB18E7"/>
    <w:rsid w:val="741DF836"/>
    <w:rsid w:val="74737A59"/>
    <w:rsid w:val="760F4ABA"/>
    <w:rsid w:val="7706222E"/>
    <w:rsid w:val="77433ECA"/>
    <w:rsid w:val="77D5C895"/>
    <w:rsid w:val="77D81E92"/>
    <w:rsid w:val="77DBA472"/>
    <w:rsid w:val="79D86043"/>
    <w:rsid w:val="7B134CFE"/>
    <w:rsid w:val="7E53C28B"/>
    <w:rsid w:val="7F3F374E"/>
    <w:rsid w:val="7F79DD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9B04"/>
  <w15:chartTrackingRefBased/>
  <w15:docId w15:val="{EE315948-0AC3-4CAC-ADCB-EEF183FA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A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castle.org/DocumentCenter/View/1635/Upper-Minkel-Dam-Tectonic-Presentation---February-25-2020" TargetMode="External"/><Relationship Id="rId13" Type="http://schemas.openxmlformats.org/officeDocument/2006/relationships/hyperlink" Target="https://www.hickorync.gov/sites/default/files/hickoryncgov/Council/Action%20Agendas/20210202%20-%20City%20Council%20Action%20Agenda%20-%20February%202%2C%202021%20.pdf" TargetMode="External"/><Relationship Id="rId18" Type="http://schemas.openxmlformats.org/officeDocument/2006/relationships/hyperlink" Target="https://www.bidnet.com/bneattachments?/654134486.pdf" TargetMode="External"/><Relationship Id="rId3" Type="http://schemas.openxmlformats.org/officeDocument/2006/relationships/settings" Target="settings.xml"/><Relationship Id="rId21" Type="http://schemas.openxmlformats.org/officeDocument/2006/relationships/hyperlink" Target="https://www.rpcity.org/UserFiles/Servers/Server_3037789/File/Planning/Environmental%20Documents/Notice%20of%20Preparation_CC%20Detention%20Basin%20122017.pdf" TargetMode="External"/><Relationship Id="rId7" Type="http://schemas.openxmlformats.org/officeDocument/2006/relationships/hyperlink" Target="https://columbiasc.gov/uploads/headlines/03-08-2021/water-utility-resiliency/2021-03-02-Columbia%20Water%20Resiliency%20Update_Final.pdf" TargetMode="External"/><Relationship Id="rId12" Type="http://schemas.openxmlformats.org/officeDocument/2006/relationships/hyperlink" Target="https://www.nj.gov/dep/floodresilience/rbd-hudsonriver.htm" TargetMode="External"/><Relationship Id="rId17" Type="http://schemas.openxmlformats.org/officeDocument/2006/relationships/hyperlink" Target="https://eeaonline.eea.state.ma.us/EEA/emepa/mepadocs/2020/012220em/sc/enf/16127%20Central%20Street%20Bridge%20Reconstruction%20and%20Central%20Pond%20Sawmill%20Brook%20Restoration.pdf" TargetMode="External"/><Relationship Id="rId2" Type="http://schemas.openxmlformats.org/officeDocument/2006/relationships/styles" Target="styles.xml"/><Relationship Id="rId16" Type="http://schemas.openxmlformats.org/officeDocument/2006/relationships/hyperlink" Target="https://www.townofduck.com/news/survey-work-to-begin-on-duck-road-for-resiliency-grant/" TargetMode="External"/><Relationship Id="rId20" Type="http://schemas.openxmlformats.org/officeDocument/2006/relationships/hyperlink" Target="https://resilientcitiesnetwork.org/downloadable_resources/Network/Washington-DC-Resilience-Strategy-English.pdf" TargetMode="External"/><Relationship Id="rId1" Type="http://schemas.openxmlformats.org/officeDocument/2006/relationships/numbering" Target="numbering.xml"/><Relationship Id="rId6" Type="http://schemas.openxmlformats.org/officeDocument/2006/relationships/hyperlink" Target="https://www.co.kittitas.wa.us/uploads/documents/solid-waste/Final-Site-Selection-Report-Kittitas_082118.pdf" TargetMode="External"/><Relationship Id="rId11" Type="http://schemas.openxmlformats.org/officeDocument/2006/relationships/hyperlink" Target="https://www.nj.gov/dep/floodresilience/docs/rbdm-meeting-20200311-pres-slides.pdf" TargetMode="External"/><Relationship Id="rId24" Type="http://schemas.openxmlformats.org/officeDocument/2006/relationships/theme" Target="theme/theme1.xml"/><Relationship Id="rId5" Type="http://schemas.openxmlformats.org/officeDocument/2006/relationships/hyperlink" Target="file:///C:/Users/frenchreb/Downloads/North%20Shore%20Levee%20-%20West%20Segment%20(5.21).pdf" TargetMode="External"/><Relationship Id="rId15" Type="http://schemas.openxmlformats.org/officeDocument/2006/relationships/hyperlink" Target="https://static1.squarespace.com/static/5ae3403b5ffd20f29c3730d4/t/60140c324b91cd5e522f6fa1/1611926587769/0_Lumberton+Floodprint_FINAL+with+Cover.pdf" TargetMode="External"/><Relationship Id="rId23" Type="http://schemas.openxmlformats.org/officeDocument/2006/relationships/fontTable" Target="fontTable.xml"/><Relationship Id="rId10" Type="http://schemas.openxmlformats.org/officeDocument/2006/relationships/hyperlink" Target="https://stormrecovery.ny.gov/tottenville-shoreline-protection-project" TargetMode="External"/><Relationship Id="rId19" Type="http://schemas.openxmlformats.org/officeDocument/2006/relationships/hyperlink" Target="https://www.mwcog.org/file.aspx?&amp;A=gURuxYcq4eyiA9%2F4kcUMjbRN6g3gx1CpIlYq9eohxNw%3D" TargetMode="External"/><Relationship Id="rId4" Type="http://schemas.openxmlformats.org/officeDocument/2006/relationships/webSettings" Target="webSettings.xml"/><Relationship Id="rId9" Type="http://schemas.openxmlformats.org/officeDocument/2006/relationships/hyperlink" Target="https://www.mynewcastle.org/CivicAlerts.aspx?AID=223&amp;ARC=499" TargetMode="External"/><Relationship Id="rId14" Type="http://schemas.openxmlformats.org/officeDocument/2006/relationships/hyperlink" Target="https://www.asla.org/2020awards/262.html" TargetMode="External"/><Relationship Id="rId22" Type="http://schemas.openxmlformats.org/officeDocument/2006/relationships/hyperlink" Target="https://menlopark.org/DocumentCenter/View/26723/H3-20201117-CC-FEMA-BRIC-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1872</Words>
  <Characters>10676</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Alanis</dc:creator>
  <cp:keywords/>
  <dc:description/>
  <cp:lastModifiedBy>Rebecca</cp:lastModifiedBy>
  <cp:revision>3</cp:revision>
  <dcterms:created xsi:type="dcterms:W3CDTF">2021-08-19T14:45:00Z</dcterms:created>
  <dcterms:modified xsi:type="dcterms:W3CDTF">2021-08-19T14:47:00Z</dcterms:modified>
</cp:coreProperties>
</file>